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149F" w14:textId="1D897ACE" w:rsidR="00EB21B5" w:rsidRPr="00D82E6F" w:rsidRDefault="001D65F1" w:rsidP="00FB11F4">
      <w:pPr>
        <w:pStyle w:val="NoSpacing"/>
        <w:spacing w:before="75" w:after="75"/>
        <w:rPr>
          <w:rFonts w:ascii="Plantagenet Cherokee" w:hAnsi="Plantagenet Cherokee" w:cstheme="majorBidi"/>
          <w:i/>
          <w:iCs/>
          <w:color w:val="000000" w:themeColor="text1"/>
          <w:sz w:val="16"/>
          <w:szCs w:val="16"/>
          <w:lang w:val="en-US"/>
        </w:rPr>
      </w:pPr>
      <w:bookmarkStart w:id="0" w:name="OLE_LINK1"/>
      <w:r>
        <w:rPr>
          <w:rFonts w:ascii="Plantagenet Cherokee" w:hAnsi="Plantagenet Cherokee" w:cstheme="majorBidi"/>
          <w:i/>
          <w:iCs/>
          <w:color w:val="000000" w:themeColor="text1"/>
          <w:sz w:val="16"/>
          <w:szCs w:val="16"/>
          <w:lang w:val="en-US"/>
        </w:rPr>
        <w:t>Original</w:t>
      </w:r>
      <w:r w:rsidR="001D231A" w:rsidRPr="00D82E6F">
        <w:rPr>
          <w:rFonts w:ascii="Plantagenet Cherokee" w:hAnsi="Plantagenet Cherokee" w:cstheme="majorBidi"/>
          <w:i/>
          <w:iCs/>
          <w:color w:val="000000" w:themeColor="text1"/>
          <w:sz w:val="16"/>
          <w:szCs w:val="16"/>
          <w:lang w:val="en-US"/>
        </w:rPr>
        <w:t xml:space="preserve"> </w:t>
      </w:r>
      <w:r w:rsidR="00EB21B5" w:rsidRPr="00D82E6F">
        <w:rPr>
          <w:rFonts w:ascii="Plantagenet Cherokee" w:hAnsi="Plantagenet Cherokee" w:cstheme="majorBidi"/>
          <w:i/>
          <w:iCs/>
          <w:color w:val="000000" w:themeColor="text1"/>
          <w:sz w:val="16"/>
          <w:szCs w:val="16"/>
          <w:lang w:val="en-US"/>
        </w:rPr>
        <w:t>Article</w:t>
      </w:r>
    </w:p>
    <w:p w14:paraId="7185F5DE" w14:textId="3AE183D5" w:rsidR="005C4F64" w:rsidRPr="00D82E6F" w:rsidRDefault="007B031E" w:rsidP="00335DDB">
      <w:pPr>
        <w:pStyle w:val="Body"/>
        <w:tabs>
          <w:tab w:val="left" w:pos="3888"/>
        </w:tabs>
        <w:spacing w:line="240" w:lineRule="auto"/>
        <w:rPr>
          <w:rFonts w:cstheme="majorBidi"/>
          <w:b/>
          <w:bCs/>
          <w:color w:val="000000" w:themeColor="text1"/>
          <w:sz w:val="36"/>
          <w:szCs w:val="36"/>
        </w:rPr>
      </w:pPr>
      <w:bookmarkStart w:id="1" w:name="OLE_LINK2"/>
      <w:r w:rsidRPr="007B031E">
        <w:rPr>
          <w:rFonts w:cstheme="majorBidi"/>
          <w:b/>
          <w:bCs/>
          <w:color w:val="000000" w:themeColor="text1"/>
          <w:sz w:val="36"/>
          <w:szCs w:val="36"/>
        </w:rPr>
        <w:t>Relationship Between Daily Step Count and Fear of Falling in Older Adults with Type 2 Diabetes</w:t>
      </w:r>
    </w:p>
    <w:p w14:paraId="79CAF22C" w14:textId="21523B31" w:rsidR="00567CA9" w:rsidRPr="008F0DEB" w:rsidRDefault="007B031E" w:rsidP="006F5F81">
      <w:pPr>
        <w:jc w:val="both"/>
        <w:rPr>
          <w:rFonts w:ascii="Plantagenet Cherokee" w:hAnsi="Plantagenet Cherokee" w:cstheme="majorBidi"/>
          <w:b/>
          <w:bCs/>
          <w:color w:val="0B769F" w:themeColor="accent4" w:themeShade="BF"/>
          <w:sz w:val="20"/>
          <w:szCs w:val="20"/>
          <w:lang w:val="en-US"/>
        </w:rPr>
      </w:pPr>
      <w:proofErr w:type="spellStart"/>
      <w:r w:rsidRPr="007B031E">
        <w:rPr>
          <w:rFonts w:ascii="Plantagenet Cherokee" w:hAnsi="Plantagenet Cherokee" w:cstheme="majorBidi"/>
          <w:b/>
          <w:bCs/>
          <w:color w:val="0B769F" w:themeColor="accent4" w:themeShade="BF"/>
          <w:sz w:val="20"/>
          <w:szCs w:val="20"/>
          <w:lang w:val="en-US"/>
        </w:rPr>
        <w:t>Mehwar</w:t>
      </w:r>
      <w:proofErr w:type="spellEnd"/>
      <w:r w:rsidRPr="007B031E">
        <w:rPr>
          <w:rFonts w:ascii="Plantagenet Cherokee" w:hAnsi="Plantagenet Cherokee" w:cstheme="majorBidi"/>
          <w:b/>
          <w:bCs/>
          <w:color w:val="0B769F" w:themeColor="accent4" w:themeShade="BF"/>
          <w:sz w:val="20"/>
          <w:szCs w:val="20"/>
          <w:lang w:val="en-US"/>
        </w:rPr>
        <w:t xml:space="preserve"> Zia¹, Tehreem Mukhtar², Maryam Amjad¹, Noor Shoukat¹, Mahnoor Anwar¹</w:t>
      </w:r>
    </w:p>
    <w:bookmarkEnd w:id="1"/>
    <w:p w14:paraId="0234A826" w14:textId="77777777" w:rsidR="007B031E" w:rsidRPr="007B031E" w:rsidRDefault="007B031E" w:rsidP="007B031E">
      <w:pPr>
        <w:pStyle w:val="NoSpacing"/>
        <w:rPr>
          <w:rFonts w:ascii="Plantagenet Cherokee" w:hAnsi="Plantagenet Cherokee" w:cstheme="majorBidi"/>
          <w:sz w:val="12"/>
          <w:szCs w:val="12"/>
          <w:lang w:val="en-US"/>
        </w:rPr>
      </w:pPr>
      <w:r w:rsidRPr="007B031E">
        <w:rPr>
          <w:rFonts w:ascii="Plantagenet Cherokee" w:hAnsi="Plantagenet Cherokee" w:cstheme="majorBidi"/>
          <w:sz w:val="12"/>
          <w:szCs w:val="12"/>
          <w:lang w:val="en-US"/>
        </w:rPr>
        <w:t>¹ Student, Department of Physical Therapy, Superior University Lahore, Lahore, Pakistan</w:t>
      </w:r>
    </w:p>
    <w:p w14:paraId="41AF564E" w14:textId="3923644A" w:rsidR="00681E8B" w:rsidRDefault="007B031E" w:rsidP="007B031E">
      <w:pPr>
        <w:pStyle w:val="NoSpacing"/>
        <w:rPr>
          <w:rFonts w:ascii="Plantagenet Cherokee" w:hAnsi="Plantagenet Cherokee" w:cstheme="majorBidi"/>
          <w:sz w:val="12"/>
          <w:szCs w:val="12"/>
          <w:lang w:val="en-US"/>
        </w:rPr>
      </w:pPr>
      <w:r w:rsidRPr="007B031E">
        <w:rPr>
          <w:rFonts w:ascii="Plantagenet Cherokee" w:hAnsi="Plantagenet Cherokee" w:cstheme="majorBidi"/>
          <w:sz w:val="12"/>
          <w:szCs w:val="12"/>
          <w:lang w:val="en-US"/>
        </w:rPr>
        <w:t>² Assistant Professor, Department of Physical Therapy, Superior University Lahore, Lahore, Pakistan</w:t>
      </w:r>
    </w:p>
    <w:p w14:paraId="20211F8F" w14:textId="77777777" w:rsidR="00E239C7" w:rsidRPr="00344AC4" w:rsidRDefault="00E239C7" w:rsidP="00E239C7">
      <w:pPr>
        <w:pStyle w:val="NoSpacing"/>
        <w:rPr>
          <w:rFonts w:ascii="Plantagenet Cherokee" w:hAnsi="Plantagenet Cherokee" w:cstheme="majorBidi"/>
          <w:sz w:val="16"/>
          <w:szCs w:val="16"/>
          <w:lang w:val="en-US"/>
        </w:rPr>
      </w:pPr>
    </w:p>
    <w:p w14:paraId="4A16F0F8" w14:textId="39E56519" w:rsidR="006461E1" w:rsidRPr="00344AC4" w:rsidRDefault="00ED10B5" w:rsidP="00D12716">
      <w:pPr>
        <w:pStyle w:val="Body"/>
        <w:spacing w:line="360" w:lineRule="auto"/>
        <w:rPr>
          <w:rFonts w:cstheme="majorBidi"/>
          <w:b/>
          <w:bCs/>
          <w:color w:val="0B769F" w:themeColor="accent4" w:themeShade="BF"/>
          <w:sz w:val="16"/>
          <w:szCs w:val="16"/>
        </w:rPr>
      </w:pPr>
      <w:r w:rsidRPr="00344AC4">
        <w:rPr>
          <w:rFonts w:cstheme="majorBidi"/>
          <w:b/>
          <w:bCs/>
          <w:color w:val="0B769F" w:themeColor="accent4" w:themeShade="BF"/>
          <w:sz w:val="16"/>
          <w:szCs w:val="16"/>
        </w:rPr>
        <w:t>*</w:t>
      </w:r>
      <w:r w:rsidR="004970D5" w:rsidRPr="00344AC4">
        <w:rPr>
          <w:rFonts w:cstheme="majorBidi"/>
          <w:b/>
          <w:bCs/>
          <w:color w:val="0B769F" w:themeColor="accent4" w:themeShade="BF"/>
          <w:sz w:val="16"/>
          <w:szCs w:val="16"/>
        </w:rPr>
        <w:t xml:space="preserve">Corresponding author: </w:t>
      </w:r>
      <w:r w:rsidR="007B031E" w:rsidRPr="007B031E">
        <w:rPr>
          <w:rFonts w:cstheme="majorBidi"/>
          <w:b/>
          <w:bCs/>
          <w:color w:val="0B769F" w:themeColor="accent4" w:themeShade="BF"/>
          <w:sz w:val="16"/>
          <w:szCs w:val="16"/>
        </w:rPr>
        <w:t>Maryam Amjad, Dptm-f19-080@superior.edu.pk</w:t>
      </w:r>
    </w:p>
    <w:p w14:paraId="08CEB722" w14:textId="6C910CEC" w:rsidR="00471B9B" w:rsidRPr="00D82E6F" w:rsidRDefault="00EC323F" w:rsidP="000170E3">
      <w:pPr>
        <w:pStyle w:val="NoSpacing"/>
        <w:pBdr>
          <w:left w:val="single" w:sz="4" w:space="4" w:color="auto"/>
        </w:pBdr>
        <w:spacing w:line="276" w:lineRule="auto"/>
        <w:ind w:left="144"/>
        <w:jc w:val="both"/>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pPr>
      <w:r w:rsidRPr="007118CA">
        <w:rPr>
          <w:rFonts w:ascii="Plantagenet Cherokee" w:hAnsi="Plantagenet Cherokee" w:cstheme="majorBidi"/>
          <w:b/>
          <w:bCs/>
          <w:color w:val="FFFFFF" w:themeColor="background1"/>
          <w:sz w:val="12"/>
          <w:szCs w:val="12"/>
          <w:highlight w:val="darkCyan"/>
          <w14:shadow w14:blurRad="0" w14:dist="0" w14:dir="5400000" w14:sx="0" w14:sy="0" w14:kx="0" w14:ky="0" w14:algn="ctr">
            <w14:srgbClr w14:val="000000">
              <w14:alpha w14:val="51000"/>
            </w14:srgbClr>
          </w14:shadow>
        </w:rPr>
        <w:t>“</w:t>
      </w:r>
      <w:hyperlink r:id="rId8" w:history="1">
        <w:r w:rsidRPr="007118CA">
          <w:rPr>
            <w:rStyle w:val="Hyperlink"/>
            <w:rFonts w:ascii="Plantagenet Cherokee" w:hAnsi="Plantagenet Cherokee" w:cstheme="majorBidi"/>
            <w:b/>
            <w:bCs/>
            <w:color w:val="FFFFFF" w:themeColor="background1"/>
            <w:sz w:val="12"/>
            <w:szCs w:val="12"/>
            <w:highlight w:val="darkCyan"/>
            <w:u w:val="none"/>
            <w14:shadow w14:blurRad="0" w14:dist="0" w14:dir="5400000" w14:sx="0" w14:sy="0" w14:kx="0" w14:ky="0" w14:algn="ctr">
              <w14:srgbClr w14:val="000000">
                <w14:alpha w14:val="51000"/>
              </w14:srgbClr>
            </w14:shadow>
          </w:rPr>
          <w:t>Cite</w:t>
        </w:r>
        <w:r w:rsidR="001D231A" w:rsidRPr="007118CA">
          <w:rPr>
            <w:rStyle w:val="Hyperlink"/>
            <w:rFonts w:ascii="Plantagenet Cherokee" w:hAnsi="Plantagenet Cherokee" w:cstheme="majorBidi"/>
            <w:b/>
            <w:bCs/>
            <w:color w:val="FFFFFF" w:themeColor="background1"/>
            <w:sz w:val="12"/>
            <w:szCs w:val="12"/>
            <w:highlight w:val="darkCyan"/>
            <w:u w:val="none"/>
            <w14:shadow w14:blurRad="0" w14:dist="0" w14:dir="5400000" w14:sx="0" w14:sy="0" w14:kx="0" w14:ky="0" w14:algn="ctr">
              <w14:srgbClr w14:val="000000">
                <w14:alpha w14:val="51000"/>
              </w14:srgbClr>
            </w14:shadow>
          </w:rPr>
          <w:t xml:space="preserve"> </w:t>
        </w:r>
        <w:r w:rsidRPr="007118CA">
          <w:rPr>
            <w:rStyle w:val="Hyperlink"/>
            <w:rFonts w:ascii="Plantagenet Cherokee" w:hAnsi="Plantagenet Cherokee" w:cstheme="majorBidi"/>
            <w:b/>
            <w:bCs/>
            <w:color w:val="FFFFFF" w:themeColor="background1"/>
            <w:sz w:val="12"/>
            <w:szCs w:val="12"/>
            <w:highlight w:val="darkCyan"/>
            <w:u w:val="none"/>
            <w14:shadow w14:blurRad="0" w14:dist="0" w14:dir="5400000" w14:sx="0" w14:sy="0" w14:kx="0" w14:ky="0" w14:algn="ctr">
              <w14:srgbClr w14:val="000000">
                <w14:alpha w14:val="51000"/>
              </w14:srgbClr>
            </w14:shadow>
          </w:rPr>
          <w:t>this</w:t>
        </w:r>
        <w:r w:rsidR="001D231A" w:rsidRPr="007118CA">
          <w:rPr>
            <w:rStyle w:val="Hyperlink"/>
            <w:rFonts w:ascii="Plantagenet Cherokee" w:hAnsi="Plantagenet Cherokee" w:cstheme="majorBidi"/>
            <w:b/>
            <w:bCs/>
            <w:color w:val="FFFFFF" w:themeColor="background1"/>
            <w:sz w:val="12"/>
            <w:szCs w:val="12"/>
            <w:highlight w:val="darkCyan"/>
            <w:u w:val="none"/>
            <w14:shadow w14:blurRad="0" w14:dist="0" w14:dir="5400000" w14:sx="0" w14:sy="0" w14:kx="0" w14:ky="0" w14:algn="ctr">
              <w14:srgbClr w14:val="000000">
                <w14:alpha w14:val="51000"/>
              </w14:srgbClr>
            </w14:shadow>
          </w:rPr>
          <w:t xml:space="preserve"> </w:t>
        </w:r>
        <w:r w:rsidRPr="007118CA">
          <w:rPr>
            <w:rStyle w:val="Hyperlink"/>
            <w:rFonts w:ascii="Plantagenet Cherokee" w:hAnsi="Plantagenet Cherokee" w:cstheme="majorBidi"/>
            <w:b/>
            <w:bCs/>
            <w:color w:val="FFFFFF" w:themeColor="background1"/>
            <w:sz w:val="12"/>
            <w:szCs w:val="12"/>
            <w:highlight w:val="darkCyan"/>
            <w:u w:val="none"/>
            <w14:shadow w14:blurRad="0" w14:dist="0" w14:dir="5400000" w14:sx="0" w14:sy="0" w14:kx="0" w14:ky="0" w14:algn="ctr">
              <w14:srgbClr w14:val="000000">
                <w14:alpha w14:val="51000"/>
              </w14:srgbClr>
            </w14:shadow>
          </w:rPr>
          <w:t>Article</w:t>
        </w:r>
      </w:hyperlink>
      <w:r w:rsidRPr="007118CA">
        <w:rPr>
          <w:rFonts w:ascii="Plantagenet Cherokee" w:hAnsi="Plantagenet Cherokee" w:cstheme="majorBidi"/>
          <w:b/>
          <w:bCs/>
          <w:color w:val="FFFFFF" w:themeColor="background1"/>
          <w:sz w:val="12"/>
          <w:szCs w:val="12"/>
          <w:highlight w:val="darkCyan"/>
          <w14:shadow w14:blurRad="0" w14:dist="0" w14:dir="5400000" w14:sx="0" w14:sy="0" w14:kx="0" w14:ky="0" w14:algn="ctr">
            <w14:srgbClr w14:val="000000">
              <w14:alpha w14:val="51000"/>
            </w14:srgbClr>
          </w14:shadow>
        </w:rPr>
        <w:t>”</w:t>
      </w:r>
      <w:r w:rsidR="001D231A" w:rsidRPr="007118CA">
        <w:rPr>
          <w:rFonts w:ascii="Plantagenet Cherokee" w:hAnsi="Plantagenet Cherokee" w:cstheme="majorBidi"/>
          <w:b/>
          <w:bCs/>
          <w:color w:val="FFFFFF" w:themeColor="background1"/>
          <w:sz w:val="12"/>
          <w:szCs w:val="12"/>
          <w14:shadow w14:blurRad="0" w14:dist="0" w14:dir="5400000" w14:sx="0" w14:sy="0" w14:kx="0" w14:ky="0" w14:algn="ctr">
            <w14:srgbClr w14:val="000000">
              <w14:alpha w14:val="51000"/>
            </w14:srgbClr>
          </w14:shadow>
        </w:rPr>
        <w:t xml:space="preserve"> </w:t>
      </w:r>
      <w:r w:rsidR="00471B9B"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Received</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12</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March </w:t>
      </w:r>
      <w:r w:rsidR="00A82AA6"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2026</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471B9B"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Accepted</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0170E3">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2</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9</w:t>
      </w:r>
      <w:r w:rsidR="000170E3">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April</w:t>
      </w:r>
      <w:r w:rsidR="000170E3">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2026;</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471B9B"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Published</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08</w:t>
      </w:r>
      <w:r w:rsidR="000170E3">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C447B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May</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471B9B"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2026</w:t>
      </w:r>
    </w:p>
    <w:p w14:paraId="6E942F01" w14:textId="7984967F" w:rsidR="00471B9B" w:rsidRPr="00D82E6F" w:rsidRDefault="00471B9B" w:rsidP="007C6725">
      <w:pPr>
        <w:pStyle w:val="NoSpacing"/>
        <w:pBdr>
          <w:left w:val="single" w:sz="4" w:space="4" w:color="auto"/>
        </w:pBdr>
        <w:spacing w:line="276" w:lineRule="auto"/>
        <w:ind w:left="144"/>
        <w:jc w:val="both"/>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pPr>
      <w:r w:rsidRPr="00D82E6F">
        <w:rPr>
          <w:rFonts w:ascii="Plantagenet Cherokee" w:hAnsi="Plantagenet Cherokee" w:cstheme="majorBidi"/>
          <w:b/>
          <w:bCs/>
          <w:color w:val="074F6A" w:themeColor="accent4" w:themeShade="80"/>
          <w:sz w:val="12"/>
          <w:szCs w:val="12"/>
          <w14:shadow w14:blurRad="0" w14:dist="0" w14:dir="5400000" w14:sx="0" w14:sy="0" w14:kx="0" w14:ky="0" w14:algn="ctr">
            <w14:srgbClr w14:val="000000">
              <w14:alpha w14:val="51000"/>
            </w14:srgbClr>
          </w14:shadow>
        </w:rPr>
        <w:t>Author</w:t>
      </w:r>
      <w:r w:rsidR="001D231A" w:rsidRPr="00D82E6F">
        <w:rPr>
          <w:rFonts w:ascii="Plantagenet Cherokee" w:hAnsi="Plantagenet Cherokee" w:cstheme="majorBidi"/>
          <w:b/>
          <w:bCs/>
          <w:color w:val="074F6A" w:themeColor="accent4" w:themeShade="80"/>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74F6A" w:themeColor="accent4" w:themeShade="80"/>
          <w:sz w:val="12"/>
          <w:szCs w:val="12"/>
          <w14:shadow w14:blurRad="0" w14:dist="0" w14:dir="5400000" w14:sx="0" w14:sy="0" w14:kx="0" w14:ky="0" w14:algn="ctr">
            <w14:srgbClr w14:val="000000">
              <w14:alpha w14:val="51000"/>
            </w14:srgbClr>
          </w14:shadow>
        </w:rPr>
        <w:t>Contributions:</w:t>
      </w:r>
      <w:r w:rsidR="001D231A" w:rsidRPr="00D82E6F">
        <w:rPr>
          <w:rFonts w:ascii="Plantagenet Cherokee" w:hAnsi="Plantagenet Cherokee" w:cstheme="majorBidi"/>
          <w:b/>
          <w:bCs/>
          <w:color w:val="074F6A" w:themeColor="accent4" w:themeShade="80"/>
          <w:sz w:val="12"/>
          <w:szCs w:val="12"/>
          <w14:shadow w14:blurRad="0" w14:dist="0" w14:dir="5400000" w14:sx="0" w14:sy="0" w14:kx="0" w14:ky="0" w14:algn="ctr">
            <w14:srgbClr w14:val="000000">
              <w14:alpha w14:val="51000"/>
            </w14:srgbClr>
          </w14:shadow>
        </w:rPr>
        <w:t xml:space="preserve"> </w:t>
      </w:r>
      <w:r w:rsidR="007B031E" w:rsidRPr="007B031E">
        <w:rPr>
          <w:rFonts w:ascii="Plantagenet Cherokee" w:hAnsi="Plantagenet Cherokee" w:cstheme="majorBidi"/>
          <w:color w:val="074F6A" w:themeColor="accent4" w:themeShade="80"/>
          <w:sz w:val="12"/>
          <w:szCs w:val="12"/>
          <w14:shadow w14:blurRad="0" w14:dist="0" w14:dir="5400000" w14:sx="0" w14:sy="0" w14:kx="0" w14:ky="0" w14:algn="ctr">
            <w14:srgbClr w14:val="000000">
              <w14:alpha w14:val="51000"/>
            </w14:srgbClr>
          </w14:shadow>
        </w:rPr>
        <w:t>Concept: MZ; Design: TM; Data Collection: MA, NS, MA; Analysis: MZ, TM; Drafting: MZ, MA, NS, MA.</w:t>
      </w:r>
      <w:r w:rsidR="005F1D64" w:rsidRPr="005F1D64">
        <w:rPr>
          <w:rFonts w:ascii="Plantagenet Cherokee" w:hAnsi="Plantagenet Cherokee" w:cstheme="majorBidi"/>
          <w:color w:val="074F6A" w:themeColor="accent4" w:themeShade="80"/>
          <w:sz w:val="12"/>
          <w:szCs w:val="12"/>
          <w14:shadow w14:blurRad="0" w14:dist="0" w14:dir="5400000" w14:sx="0" w14:sy="0" w14:kx="0" w14:ky="0" w14:algn="ctr">
            <w14:srgbClr w14:val="000000">
              <w14:alpha w14:val="51000"/>
            </w14:srgbClr>
          </w14:shadow>
        </w:rPr>
        <w:t>.</w:t>
      </w:r>
      <w:r w:rsidR="00F22D93">
        <w:rPr>
          <w:rFonts w:ascii="Plantagenet Cherokee" w:hAnsi="Plantagenet Cherokee" w:cstheme="majorBidi"/>
          <w:color w:val="074F6A" w:themeColor="accent4" w:themeShade="80"/>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Ethical</w:t>
      </w:r>
      <w:r w:rsidR="001D231A"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Approval</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5F1D64">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005F1D64" w:rsidRPr="005F1D64">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Akhtar Saeed College of Nursing, Lahore, Pakistan</w:t>
      </w:r>
      <w:r w:rsidR="000C6672">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7C5C71">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Informed</w:t>
      </w:r>
      <w:r w:rsidR="001D231A"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Consent</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Written</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informed</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consent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was</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obtained</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from</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all</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participants;</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Conflict</w:t>
      </w:r>
      <w:r w:rsidR="001D231A"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of</w:t>
      </w:r>
      <w:r w:rsidR="001D231A"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Interest</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The</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authors</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declare</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no</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conflict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of</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interest.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Funding</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No</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external</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funding;</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Data</w:t>
      </w:r>
      <w:r w:rsidR="001D231A"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Availability</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Available</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from</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the</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corresponding</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author</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on</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reasonable</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request;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b/>
          <w:bCs/>
          <w:color w:val="000000" w:themeColor="text1"/>
          <w:sz w:val="12"/>
          <w:szCs w:val="12"/>
          <w14:shadow w14:blurRad="0" w14:dist="0" w14:dir="5400000" w14:sx="0" w14:sy="0" w14:kx="0" w14:ky="0" w14:algn="ctr">
            <w14:srgbClr w14:val="000000">
              <w14:alpha w14:val="51000"/>
            </w14:srgbClr>
          </w14:shadow>
        </w:rPr>
        <w:t>Acknowledgments</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w:t>
      </w:r>
      <w:r w:rsidR="001D231A"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 xml:space="preserve"> </w:t>
      </w:r>
      <w:r w:rsidRPr="00D82E6F">
        <w:rPr>
          <w:rFonts w:ascii="Plantagenet Cherokee" w:hAnsi="Plantagenet Cherokee" w:cstheme="majorBidi"/>
          <w:color w:val="000000" w:themeColor="text1"/>
          <w:sz w:val="12"/>
          <w:szCs w:val="12"/>
          <w14:shadow w14:blurRad="0" w14:dist="0" w14:dir="5400000" w14:sx="0" w14:sy="0" w14:kx="0" w14:ky="0" w14:algn="ctr">
            <w14:srgbClr w14:val="000000">
              <w14:alpha w14:val="51000"/>
            </w14:srgbClr>
          </w14:shadow>
        </w:rPr>
        <w:t>N/A.</w:t>
      </w:r>
    </w:p>
    <w:bookmarkEnd w:id="0"/>
    <w:p w14:paraId="5DC978A3" w14:textId="550F2DE6" w:rsidR="003C5803" w:rsidRDefault="00152188" w:rsidP="003F7C15">
      <w:pPr>
        <w:pStyle w:val="Heading1"/>
      </w:pPr>
      <w:r w:rsidRPr="00D82E6F">
        <w:t>Abstract</w:t>
      </w:r>
    </w:p>
    <w:p w14:paraId="5460A298" w14:textId="3F3F3251" w:rsidR="007B031E" w:rsidRPr="007B031E" w:rsidRDefault="007B031E" w:rsidP="007B031E">
      <w:pPr>
        <w:pStyle w:val="Body"/>
      </w:pPr>
      <w:r w:rsidRPr="007B031E">
        <w:t xml:space="preserve">Background: Older adults with type 2 diabetes mellitus are vulnerable to reduced mobility, impaired balance confidence, and fear of falling, which may contribute to activity restriction and functional decline. Daily step count provides an objective and clinically interpretable measure of ambulatory physical activity in this population. Objective: To determine the relationship between daily step count and fear of falling among older adults with type 2 diabetes mellitus.  Methods: A cross-sectional correlational study was conducted among 100 older adults with type 2 diabetes mellitus recruited from hospital and community settings. Demographic and clinical data were collected using a structured questionnaire. Daily step count was measured using a waist-worn pedometer over three consecutive days, and the average daily step count was calculated. Fear of falling was assessed using the Falls Efficacy Scale-International. Descriptive statistics summarized participant characteristics and activity distribution, while correlation analysis examined the association between daily step count and fear of falling.  Results: The mean age of participants was 72.2 ± 6.27 years. Most participants were male (71.0%), and low ambulatory activity was common, with 67.0% recording fewer than 3000 steps/day and 92.0% remaining below 6000 steps/day. Daily step count showed a statistically significant negative correlation with fear of falling (r = </w:t>
      </w:r>
      <w:r w:rsidRPr="007B031E">
        <w:rPr>
          <w:rFonts w:ascii="Cambria Math" w:hAnsi="Cambria Math" w:cs="Cambria Math"/>
        </w:rPr>
        <w:t>−</w:t>
      </w:r>
      <w:r w:rsidRPr="007B031E">
        <w:t>0.267, p = 0.007), indicating higher fear among participants with lower step counts.  Conclusion: Lower daily step count was significantly associated with greater fear of falling among older adults with type 2 diabetes mellitus. Objective step-count monitoring may help identify individuals at risk of fear-related activity restriction and guide rehabilitation strategies to improve mobility and confidence</w:t>
      </w:r>
      <w:r w:rsidR="00D81630">
        <w:t xml:space="preserve">, </w:t>
      </w:r>
      <w:r w:rsidRPr="007B031E">
        <w:t>Keywords: Type 2 diabetes mellitus; daily step count; fear of falling; older adults; physical activity; mobility; rehabilitation.</w:t>
      </w:r>
    </w:p>
    <w:p w14:paraId="1A4A72E5" w14:textId="77777777" w:rsidR="007B031E" w:rsidRPr="007B031E" w:rsidRDefault="007B031E" w:rsidP="003F7C15">
      <w:pPr>
        <w:pStyle w:val="Heading1"/>
      </w:pPr>
      <w:r w:rsidRPr="007B031E">
        <w:t>Introduction</w:t>
      </w:r>
    </w:p>
    <w:p w14:paraId="35266E38" w14:textId="77777777" w:rsidR="007B031E" w:rsidRPr="007B031E" w:rsidRDefault="007B031E" w:rsidP="007B031E">
      <w:pPr>
        <w:pStyle w:val="Body"/>
      </w:pPr>
      <w:r w:rsidRPr="007B031E">
        <w:t>Type 2 diabetes mellitus is a chronic metabolic disorder that becomes increasingly prevalent with advancing age and is frequently accompanied by complications that compromise mobility, balance, and functional independence. In older adults, diabetes-related peripheral sensory impairment, reduced lower-limb strength, visual limitations, altered gait control, and musculoskeletal decline may collectively increase vulnerability to instability and falls. Walking capacity is an especially important indicator of functional health in this population because it reflects the combined performance of neuromuscular control, cardiometabolic fitness, confidence in movement, and participation in daily life. Evidence from community-dwelling older adults suggests that greater walking volume and faster walking performance are associated with better physical fitness, supporting walking-based activity as a clinically meaningful marker of mobility status in later life (1,2).</w:t>
      </w:r>
    </w:p>
    <w:p w14:paraId="1E5F2892" w14:textId="77777777" w:rsidR="007B031E" w:rsidRPr="007B031E" w:rsidRDefault="007B031E" w:rsidP="007B031E">
      <w:pPr>
        <w:pStyle w:val="Body"/>
      </w:pPr>
      <w:r w:rsidRPr="007B031E">
        <w:t xml:space="preserve">Fear of falling is a common and clinically important psychological concern among older adults, particularly those with chronic diseases that affect physical performance. It is commonly understood as </w:t>
      </w:r>
      <w:r w:rsidRPr="007B031E">
        <w:lastRenderedPageBreak/>
        <w:t>reduced confidence or self-efficacy in avoiding falls during ordinary activities of daily living. Although some caution after a fall or perceived instability may be protective, persistent fear of falling can lead to activity avoidance, reduced social participation, physical deconditioning, and progressive functional decline. Previous research has shown that fear of falling is associated with reduced physical activity in older adults, although the strength of this relationship may vary according to physical function, activity intensity, and individual fall-risk profile (3,4). In community-dwelling older populations, both falls and fear of falling have been identified as barriers to achieving the health benefits of walking and moderate-to-vigorous physical activity, indicating that psychological concerns about falling may meaningfully restrict movement even when physical activity is clinically recommended (5).</w:t>
      </w:r>
    </w:p>
    <w:p w14:paraId="43A434CB" w14:textId="77777777" w:rsidR="007B031E" w:rsidRPr="007B031E" w:rsidRDefault="007B031E" w:rsidP="007B031E">
      <w:pPr>
        <w:pStyle w:val="Body"/>
      </w:pPr>
      <w:r w:rsidRPr="007B031E">
        <w:t>The relationship between physical activity and fear of falling is likely bidirectional. Older adults who are fearful of falling may intentionally limit walking and outdoor activities, leading to reduced step accumulation, lower muscle endurance, impaired balance confidence, and increased dependence. Conversely, individuals with very low daily activity may experience worsening physical conditioning and mobility confidence, which can intensify concern about falling during routine tasks such as walking outdoors, climbing stairs, bathing, or moving across uneven surfaces. Longitudinal evidence in visually impaired older adults also suggests that fall-related experiences may influence subsequent physical activity patterns, highlighting the importance of understanding how perceived fall risk and real-world mobility interact over time (6). This cycle may be particularly relevant for older adults with type 2 diabetes, in whom metabolic disease, impaired sensory feedback, and reduced mobility may already increase fall vulnerability.</w:t>
      </w:r>
    </w:p>
    <w:p w14:paraId="0D8A1BBA" w14:textId="77777777" w:rsidR="007B031E" w:rsidRPr="007B031E" w:rsidRDefault="007B031E" w:rsidP="007B031E">
      <w:pPr>
        <w:pStyle w:val="Body"/>
      </w:pPr>
      <w:r w:rsidRPr="007B031E">
        <w:t>Objective assessment of physical activity is important because self-reported activity may be affected by recall error, social desirability, and inaccurate estimation of walking behavior. Daily step count measured through pedometers or wearable devices provides a practical and clinically interpretable indicator of ambulatory activity in real-world settings. Step monitoring can help identify older adults with sedentary behavior, reduced mobility, and potential avoidance patterns related to fear of falling. Assistive devices may improve stability and mobility confidence in some older adults, but their use can also indicate underlying functional limitation, making it important to consider mobility support when examining step count and fear-related outcomes (7). Broader evidence also supports the health relevance of objectively measured physical activity and sedentary behavior in community-dwelling older adults, reinforcing the value of step count as a measurable marker of functional and health status (8).</w:t>
      </w:r>
    </w:p>
    <w:p w14:paraId="06566918" w14:textId="77777777" w:rsidR="007B031E" w:rsidRPr="007B031E" w:rsidRDefault="007B031E" w:rsidP="007B031E">
      <w:pPr>
        <w:pStyle w:val="Body"/>
      </w:pPr>
      <w:r w:rsidRPr="007B031E">
        <w:t>Despite growing recognition of fall-related fear and physical inactivity as major concerns in older adults, limited evidence has specifically examined the association between objectively measured daily step count and fear of falling among older adults with type 2 diabetes. This gap is clinically important because diabetes-related mobility impairment may increase both fall risk and activity avoidance, while low physical activity may worsen glycemic control, functional capacity, and independence. Digital and wearable approaches have also become increasingly relevant in diabetes self-management and physical activity monitoring, suggesting that objective activity indicators may support more personalized rehabilitation and prevention strategies (9). However, before step-count monitoring can be meaningfully integrated into fall-prevention or diabetes rehabilitation programs, the relationship between daily walking volume and fear of falling must be clarified in this high-risk population.</w:t>
      </w:r>
    </w:p>
    <w:p w14:paraId="3C0A6BE0" w14:textId="77777777" w:rsidR="007B031E" w:rsidRPr="007B031E" w:rsidRDefault="007B031E" w:rsidP="007B031E">
      <w:pPr>
        <w:pStyle w:val="Body"/>
      </w:pPr>
      <w:r w:rsidRPr="007B031E">
        <w:t>Therefore, this study was designed to determine the relationship between daily step count and fear of falling among older adults with type 2 diabetes mellitus. Using a PICO framework, the population comprised older adults diagnosed with type 2 diabetes mellitus, the exposure was lower versus higher objectively measured daily step count, and the outcome was fear of falling assessed using the Falls Efficacy Scale-International. The study hypothesized that lower daily step count would be significantly associated with higher fear of falling among older adults with type 2 diabetes mellitus.</w:t>
      </w:r>
    </w:p>
    <w:p w14:paraId="76D94604" w14:textId="77777777" w:rsidR="007B031E" w:rsidRPr="007B031E" w:rsidRDefault="007B031E" w:rsidP="003F7C15">
      <w:pPr>
        <w:pStyle w:val="Heading1"/>
      </w:pPr>
      <w:r w:rsidRPr="007B031E">
        <w:lastRenderedPageBreak/>
        <w:t>Materials and Methods</w:t>
      </w:r>
    </w:p>
    <w:p w14:paraId="085FF8E6" w14:textId="77777777" w:rsidR="007B031E" w:rsidRPr="007B031E" w:rsidRDefault="007B031E" w:rsidP="007B031E">
      <w:pPr>
        <w:pStyle w:val="Body"/>
      </w:pPr>
      <w:r w:rsidRPr="007B031E">
        <w:t>A cross-sectional observational study was conducted to examine the relationship between objectively measured daily step count and fear of falling among older adults with type 2 diabetes mellitus. This design was selected because the study aimed to assess the direction and strength of association between ambulatory physical activity and fear-related functional concern at a single point in time, without manipulating exposure or assigning an intervention. The study was carried out in hospital outpatient and community-based settings, allowing recruitment of older adults with type 2 diabetes who were living in routine clinical and community environments.</w:t>
      </w:r>
    </w:p>
    <w:p w14:paraId="64DC4354" w14:textId="77777777" w:rsidR="007B031E" w:rsidRPr="007B031E" w:rsidRDefault="007B031E" w:rsidP="007B031E">
      <w:pPr>
        <w:pStyle w:val="Body"/>
      </w:pPr>
      <w:r w:rsidRPr="007B031E">
        <w:t>Participants were older adults diagnosed with type 2 diabetes mellitus who were able to ambulate independently or with the support of an assistive device and were willing to wear a step-counting device for physical activity monitoring. Eligible participants were aged 60 years and above, had a confirmed diagnosis of type 2 diabetes mellitus, and were capable of understanding study instructions and completing the fear-of-falling assessment. Individuals were excluded if they had severe cognitive impairment or dementia, wheelchair dependence or inability to walk, recent major injury or hospitalization related to falls, or neurological or severe musculoskeletal disorders that substantially affected mobility. Participants were selected through convenience sampling from eligible individuals attending the study settings or residing in the community. Each participant was informed about the purpose and procedures of the study, and written informed consent was obtained before data collection.</w:t>
      </w:r>
    </w:p>
    <w:p w14:paraId="710FDB0F" w14:textId="77777777" w:rsidR="007B031E" w:rsidRPr="007B031E" w:rsidRDefault="007B031E" w:rsidP="007B031E">
      <w:pPr>
        <w:pStyle w:val="Body"/>
      </w:pPr>
      <w:r w:rsidRPr="007B031E">
        <w:t>Data were collected using a structured demographic and clinical questionnaire, an objective step-counting device, and the Falls Efficacy Scale-International. The demographic and clinical questionnaire recorded age, sex, body mass index category, duration of diabetes, diabetes treatment plan, and use of assistive devices. Daily step count was measured using a pedometer worn at the waist during usual daily activities for three consecutive days. Participants were instructed to wear the pedometer during waking hours while performing routine activities and to remove it during sleep, bathing, or activities in which the device could be damaged. At the end of the monitoring period, the recorded daily values were averaged to obtain each participant’s mean daily step count. Daily step count was treated as a continuous exposure variable for correlation analysis and was also categorized into clinically interpretable activity strata to describe the distribution of physical activity across the sample.</w:t>
      </w:r>
    </w:p>
    <w:p w14:paraId="0853BDB9" w14:textId="77777777" w:rsidR="007B031E" w:rsidRPr="007B031E" w:rsidRDefault="007B031E" w:rsidP="007B031E">
      <w:pPr>
        <w:pStyle w:val="Body"/>
      </w:pPr>
      <w:r w:rsidRPr="007B031E">
        <w:t>Fear of falling was assessed using the Falls Efficacy Scale-International, a structured measure of concern about falling during common indoor, outdoor, and social activities. The total score was calculated by summing item responses, with higher scores indicating greater concern about falling and lower confidence in performing daily activities without falling. Fear of falling was treated as the primary outcome variable. The principal exposure variable was mean daily step count, while demographic and clinical variables including age, sex, body mass index category, diabetes duration, treatment type, and assistive-device use were considered as descriptive covariates and potential confounding factors because of their known relevance to mobility, physical activity, and fall-related concern.</w:t>
      </w:r>
    </w:p>
    <w:p w14:paraId="0FA20BA5" w14:textId="77777777" w:rsidR="007B031E" w:rsidRPr="007B031E" w:rsidRDefault="007B031E" w:rsidP="007B031E">
      <w:pPr>
        <w:pStyle w:val="Body"/>
      </w:pPr>
      <w:r w:rsidRPr="007B031E">
        <w:t>To reduce measurement bias, all participants received standardized instructions regarding pedometer placement, wear time, and recording procedures. Data collection was performed using the same assessment sequence for all participants: consent, demographic and clinical data collection, pedometer instruction and monitoring, and supervised completion of the Falls Efficacy Scale-International. The use of objective step monitoring reduced recall bias compared with self-reported physical activity. Supervised administration of the fear-of-falling scale helped minimize misunderstanding of scale items. Participants with conditions likely to independently distort mobility or fear-of-falling assessment, such as severe neurological or musculoskeletal impairment, were excluded to improve internal validity. Potential confounding was addressed by documenting clinically relevant demographic and mobility-related characteristics and incorporating them into descriptive interpretation of the findings.</w:t>
      </w:r>
    </w:p>
    <w:p w14:paraId="56A57D93" w14:textId="77777777" w:rsidR="007B031E" w:rsidRPr="007B031E" w:rsidRDefault="007B031E" w:rsidP="007B031E">
      <w:pPr>
        <w:pStyle w:val="Body"/>
      </w:pPr>
      <w:r w:rsidRPr="007B031E">
        <w:lastRenderedPageBreak/>
        <w:t>The sample consisted of 100 participants. This sample size was considered appropriate for detecting a small-to-moderate correlation between daily step count and fear of falling in a cross-sectional correlational design while allowing stable descriptive estimation of participant characteristics and activity categories. A sample of this size provides adequate precision for estimating the primary association between two continuous variables and supports subgroup description across key clinical characteristics such as sex, body mass index category, treatment plan, and assistive-device use.</w:t>
      </w:r>
    </w:p>
    <w:p w14:paraId="1E9364DA" w14:textId="4D7180BB" w:rsidR="007B031E" w:rsidRPr="007B031E" w:rsidRDefault="007B031E" w:rsidP="00120C3B">
      <w:pPr>
        <w:pStyle w:val="Body"/>
      </w:pPr>
      <w:r w:rsidRPr="007B031E">
        <w:t>Data were entered, cleaned, and analyzed using SPSS. Continuous variables were summarized using mean and standard deviation when normally distributed and median with interquartile range when distributional assumptions were not met. Categorical variables were presented as frequencies and percentages. The normality of daily step count and Falls Efficacy Scale-International scores was assessed before inferential testing. The association between daily step count and fear of falling was examined using correlation analysis, with Spearman’s rank correlation used when either variable demonstrated non-normal distribution or ordinal characteristics. The correlation coefficient, coefficient of determination where appropriate, and p-value were reported to quantify the strength, direction, and statistical significance of the association. A two-tailed p-value of less than 0.05 was considered statistically significant. Missing data were reviewed during data cleaning; participants with incomplete primary exposure or outcome data were not included in the final correlation analysis. Descriptive comparisons across activity strata were used to support clinical interpretation of the relationship between mobility level and fear-of-falling concern.</w:t>
      </w:r>
      <w:r w:rsidR="00120C3B">
        <w:t xml:space="preserve"> </w:t>
      </w:r>
      <w:r w:rsidRPr="007B031E">
        <w:t>Ethical principles for human-participant research were followed throughout the study. Participation was voluntary, written informed consent was obtained, and participants were informed that they could withdraw without penalty. Confidentiality was maintained by anonymizing study records and restricting access to collected data. Data integrity was supported through standardized data collection procedures, direct recording of pedometer values, review of questionnaires for completeness, and consistent coding of variables before statistical analysis. The use of predefined eligibility criteria, uniform measurement tools, and a transparent statistical analysis plan supported reproducibility and methodological consistency.</w:t>
      </w:r>
    </w:p>
    <w:p w14:paraId="1790B020" w14:textId="77777777" w:rsidR="007B031E" w:rsidRPr="007B031E" w:rsidRDefault="007B031E" w:rsidP="003F7C15">
      <w:pPr>
        <w:pStyle w:val="Heading1"/>
      </w:pPr>
      <w:r w:rsidRPr="007B031E">
        <w:t>Results</w:t>
      </w:r>
    </w:p>
    <w:p w14:paraId="24C1868E" w14:textId="77777777" w:rsidR="007B031E" w:rsidRPr="007B031E" w:rsidRDefault="007B031E" w:rsidP="007B031E">
      <w:pPr>
        <w:pStyle w:val="Body"/>
      </w:pPr>
      <w:r w:rsidRPr="007B031E">
        <w:t>A total of 100 older adults with type 2 diabetes mellitus were included in the analysis. The mean age of participants was 72.2 ± 6.27 years, with an observed age range of 60–90 years. Most participants were male, comprising 71.0% of the sample, while females represented 29.0%. Body mass index distribution showed that overweight status was the most frequent category, observed in 42.0% of participants, followed by obesity in 32.0%, underweight status in 24.0%, and normal body weight in 2.0%. Regarding mobility support, 45.0% of participants did not use an assistive device, whereas 39.0% used a walking stick and 16.0% used a walker. Insulin therapy was the most common treatment plan, reported by 45.0% of participants, followed by oral medication in 37.0% and combined oral medication plus insulin therapy in 18.0%.</w:t>
      </w:r>
    </w:p>
    <w:p w14:paraId="2F53C1A4" w14:textId="77777777" w:rsidR="007B031E" w:rsidRPr="007B031E" w:rsidRDefault="007B031E" w:rsidP="003F7C15">
      <w:pPr>
        <w:pStyle w:val="Caption"/>
      </w:pPr>
      <w:r w:rsidRPr="007B031E">
        <w:t>Table 1. Demographic and Clinical Characteristics of Participants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3098"/>
        <w:gridCol w:w="2253"/>
        <w:gridCol w:w="973"/>
      </w:tblGrid>
      <w:tr w:rsidR="007B031E" w:rsidRPr="003F7C15" w14:paraId="59DCF234" w14:textId="77777777" w:rsidTr="003F7C15">
        <w:tc>
          <w:tcPr>
            <w:tcW w:w="1497" w:type="pct"/>
            <w:tcBorders>
              <w:top w:val="single" w:sz="4" w:space="0" w:color="000000"/>
              <w:bottom w:val="single" w:sz="4" w:space="0" w:color="000000"/>
            </w:tcBorders>
            <w:hideMark/>
          </w:tcPr>
          <w:p w14:paraId="3B387211" w14:textId="77777777" w:rsidR="007B031E" w:rsidRPr="003F7C15" w:rsidRDefault="007B031E" w:rsidP="003F7C15">
            <w:pPr>
              <w:pStyle w:val="Body"/>
              <w:spacing w:after="0" w:line="240" w:lineRule="auto"/>
              <w:jc w:val="left"/>
              <w:rPr>
                <w:b/>
                <w:color w:val="000000"/>
                <w:sz w:val="16"/>
              </w:rPr>
            </w:pPr>
            <w:r w:rsidRPr="003F7C15">
              <w:rPr>
                <w:b/>
                <w:color w:val="000000"/>
                <w:sz w:val="16"/>
              </w:rPr>
              <w:t>Variable</w:t>
            </w:r>
          </w:p>
        </w:tc>
        <w:tc>
          <w:tcPr>
            <w:tcW w:w="1716" w:type="pct"/>
            <w:tcBorders>
              <w:top w:val="single" w:sz="4" w:space="0" w:color="000000"/>
              <w:bottom w:val="single" w:sz="4" w:space="0" w:color="000000"/>
            </w:tcBorders>
            <w:hideMark/>
          </w:tcPr>
          <w:p w14:paraId="7F7CC692" w14:textId="77777777" w:rsidR="007B031E" w:rsidRPr="003F7C15" w:rsidRDefault="007B031E" w:rsidP="003F7C15">
            <w:pPr>
              <w:pStyle w:val="Body"/>
              <w:spacing w:after="0" w:line="240" w:lineRule="auto"/>
              <w:jc w:val="left"/>
              <w:rPr>
                <w:b/>
                <w:color w:val="000000"/>
                <w:sz w:val="16"/>
              </w:rPr>
            </w:pPr>
            <w:r w:rsidRPr="003F7C15">
              <w:rPr>
                <w:b/>
                <w:color w:val="000000"/>
                <w:sz w:val="16"/>
              </w:rPr>
              <w:t>Category / Summary</w:t>
            </w:r>
          </w:p>
        </w:tc>
        <w:tc>
          <w:tcPr>
            <w:tcW w:w="1248" w:type="pct"/>
            <w:tcBorders>
              <w:top w:val="single" w:sz="4" w:space="0" w:color="000000"/>
              <w:bottom w:val="single" w:sz="4" w:space="0" w:color="000000"/>
            </w:tcBorders>
            <w:hideMark/>
          </w:tcPr>
          <w:p w14:paraId="70DACB6B" w14:textId="77777777" w:rsidR="007B031E" w:rsidRPr="003F7C15" w:rsidRDefault="007B031E" w:rsidP="003F7C15">
            <w:pPr>
              <w:pStyle w:val="Body"/>
              <w:spacing w:after="0" w:line="240" w:lineRule="auto"/>
              <w:jc w:val="left"/>
              <w:rPr>
                <w:b/>
                <w:color w:val="000000"/>
                <w:sz w:val="16"/>
              </w:rPr>
            </w:pPr>
            <w:r w:rsidRPr="003F7C15">
              <w:rPr>
                <w:b/>
                <w:color w:val="000000"/>
                <w:sz w:val="16"/>
              </w:rPr>
              <w:t>n (%) / Mean ± SD</w:t>
            </w:r>
          </w:p>
        </w:tc>
        <w:tc>
          <w:tcPr>
            <w:tcW w:w="539" w:type="pct"/>
            <w:tcBorders>
              <w:top w:val="single" w:sz="4" w:space="0" w:color="000000"/>
              <w:bottom w:val="single" w:sz="4" w:space="0" w:color="000000"/>
            </w:tcBorders>
            <w:hideMark/>
          </w:tcPr>
          <w:p w14:paraId="14BAB5CB" w14:textId="77777777" w:rsidR="007B031E" w:rsidRPr="003F7C15" w:rsidRDefault="007B031E" w:rsidP="003F7C15">
            <w:pPr>
              <w:pStyle w:val="Body"/>
              <w:spacing w:after="0" w:line="240" w:lineRule="auto"/>
              <w:jc w:val="left"/>
              <w:rPr>
                <w:b/>
                <w:color w:val="000000"/>
                <w:sz w:val="16"/>
              </w:rPr>
            </w:pPr>
            <w:r w:rsidRPr="003F7C15">
              <w:rPr>
                <w:b/>
                <w:color w:val="000000"/>
                <w:sz w:val="16"/>
              </w:rPr>
              <w:t>Range</w:t>
            </w:r>
          </w:p>
        </w:tc>
      </w:tr>
      <w:tr w:rsidR="007B031E" w:rsidRPr="003F7C15" w14:paraId="031E1F53" w14:textId="77777777" w:rsidTr="003F7C15">
        <w:tc>
          <w:tcPr>
            <w:tcW w:w="1497" w:type="pct"/>
            <w:tcBorders>
              <w:top w:val="single" w:sz="4" w:space="0" w:color="000000"/>
            </w:tcBorders>
            <w:hideMark/>
          </w:tcPr>
          <w:p w14:paraId="0C449D58" w14:textId="77777777" w:rsidR="007B031E" w:rsidRPr="003F7C15" w:rsidRDefault="007B031E" w:rsidP="003F7C15">
            <w:pPr>
              <w:pStyle w:val="Body"/>
              <w:spacing w:after="0" w:line="240" w:lineRule="auto"/>
              <w:jc w:val="left"/>
              <w:rPr>
                <w:b/>
                <w:color w:val="000000"/>
                <w:sz w:val="16"/>
              </w:rPr>
            </w:pPr>
            <w:r w:rsidRPr="003F7C15">
              <w:rPr>
                <w:b/>
                <w:color w:val="000000"/>
                <w:sz w:val="16"/>
              </w:rPr>
              <w:t>Age, years</w:t>
            </w:r>
          </w:p>
        </w:tc>
        <w:tc>
          <w:tcPr>
            <w:tcW w:w="1716" w:type="pct"/>
            <w:tcBorders>
              <w:top w:val="single" w:sz="4" w:space="0" w:color="000000"/>
            </w:tcBorders>
            <w:hideMark/>
          </w:tcPr>
          <w:p w14:paraId="3F54F463" w14:textId="77777777" w:rsidR="007B031E" w:rsidRPr="003F7C15" w:rsidRDefault="007B031E" w:rsidP="003F7C15">
            <w:pPr>
              <w:pStyle w:val="Body"/>
              <w:spacing w:after="0" w:line="240" w:lineRule="auto"/>
              <w:jc w:val="left"/>
              <w:rPr>
                <w:color w:val="000000"/>
                <w:sz w:val="16"/>
              </w:rPr>
            </w:pPr>
            <w:r w:rsidRPr="003F7C15">
              <w:rPr>
                <w:color w:val="000000"/>
                <w:sz w:val="16"/>
              </w:rPr>
              <w:t>Continuous</w:t>
            </w:r>
          </w:p>
        </w:tc>
        <w:tc>
          <w:tcPr>
            <w:tcW w:w="1248" w:type="pct"/>
            <w:tcBorders>
              <w:top w:val="single" w:sz="4" w:space="0" w:color="000000"/>
            </w:tcBorders>
            <w:hideMark/>
          </w:tcPr>
          <w:p w14:paraId="39305561" w14:textId="77777777" w:rsidR="007B031E" w:rsidRPr="003F7C15" w:rsidRDefault="007B031E" w:rsidP="003F7C15">
            <w:pPr>
              <w:pStyle w:val="Body"/>
              <w:spacing w:after="0" w:line="240" w:lineRule="auto"/>
              <w:jc w:val="left"/>
              <w:rPr>
                <w:color w:val="000000"/>
                <w:sz w:val="16"/>
              </w:rPr>
            </w:pPr>
            <w:r w:rsidRPr="003F7C15">
              <w:rPr>
                <w:color w:val="000000"/>
                <w:sz w:val="16"/>
              </w:rPr>
              <w:t>72.2 ± 6.27</w:t>
            </w:r>
          </w:p>
        </w:tc>
        <w:tc>
          <w:tcPr>
            <w:tcW w:w="539" w:type="pct"/>
            <w:tcBorders>
              <w:top w:val="single" w:sz="4" w:space="0" w:color="000000"/>
            </w:tcBorders>
            <w:hideMark/>
          </w:tcPr>
          <w:p w14:paraId="0E4834CC" w14:textId="77777777" w:rsidR="007B031E" w:rsidRPr="003F7C15" w:rsidRDefault="007B031E" w:rsidP="003F7C15">
            <w:pPr>
              <w:pStyle w:val="Body"/>
              <w:spacing w:after="0" w:line="240" w:lineRule="auto"/>
              <w:jc w:val="left"/>
              <w:rPr>
                <w:color w:val="000000"/>
                <w:sz w:val="16"/>
              </w:rPr>
            </w:pPr>
            <w:r w:rsidRPr="003F7C15">
              <w:rPr>
                <w:color w:val="000000"/>
                <w:sz w:val="16"/>
              </w:rPr>
              <w:t>60–90</w:t>
            </w:r>
          </w:p>
        </w:tc>
      </w:tr>
      <w:tr w:rsidR="007B031E" w:rsidRPr="003F7C15" w14:paraId="40838ADE" w14:textId="77777777" w:rsidTr="003F7C15">
        <w:tc>
          <w:tcPr>
            <w:tcW w:w="1497" w:type="pct"/>
            <w:hideMark/>
          </w:tcPr>
          <w:p w14:paraId="35A462E2" w14:textId="77777777" w:rsidR="007B031E" w:rsidRPr="003F7C15" w:rsidRDefault="007B031E" w:rsidP="003F7C15">
            <w:pPr>
              <w:pStyle w:val="Body"/>
              <w:spacing w:after="0" w:line="240" w:lineRule="auto"/>
              <w:jc w:val="left"/>
              <w:rPr>
                <w:b/>
                <w:color w:val="000000"/>
                <w:sz w:val="16"/>
              </w:rPr>
            </w:pPr>
            <w:r w:rsidRPr="003F7C15">
              <w:rPr>
                <w:b/>
                <w:color w:val="000000"/>
                <w:sz w:val="16"/>
              </w:rPr>
              <w:t>Sex</w:t>
            </w:r>
          </w:p>
        </w:tc>
        <w:tc>
          <w:tcPr>
            <w:tcW w:w="1716" w:type="pct"/>
            <w:hideMark/>
          </w:tcPr>
          <w:p w14:paraId="7E7246A0" w14:textId="77777777" w:rsidR="007B031E" w:rsidRPr="003F7C15" w:rsidRDefault="007B031E" w:rsidP="003F7C15">
            <w:pPr>
              <w:pStyle w:val="Body"/>
              <w:spacing w:after="0" w:line="240" w:lineRule="auto"/>
              <w:jc w:val="left"/>
              <w:rPr>
                <w:color w:val="000000"/>
                <w:sz w:val="16"/>
              </w:rPr>
            </w:pPr>
            <w:r w:rsidRPr="003F7C15">
              <w:rPr>
                <w:color w:val="000000"/>
                <w:sz w:val="16"/>
              </w:rPr>
              <w:t>Male</w:t>
            </w:r>
          </w:p>
        </w:tc>
        <w:tc>
          <w:tcPr>
            <w:tcW w:w="1248" w:type="pct"/>
            <w:hideMark/>
          </w:tcPr>
          <w:p w14:paraId="010C66C2" w14:textId="77777777" w:rsidR="007B031E" w:rsidRPr="003F7C15" w:rsidRDefault="007B031E" w:rsidP="003F7C15">
            <w:pPr>
              <w:pStyle w:val="Body"/>
              <w:spacing w:after="0" w:line="240" w:lineRule="auto"/>
              <w:jc w:val="left"/>
              <w:rPr>
                <w:color w:val="000000"/>
                <w:sz w:val="16"/>
              </w:rPr>
            </w:pPr>
            <w:r w:rsidRPr="003F7C15">
              <w:rPr>
                <w:color w:val="000000"/>
                <w:sz w:val="16"/>
              </w:rPr>
              <w:t>71 (71.0%)</w:t>
            </w:r>
          </w:p>
        </w:tc>
        <w:tc>
          <w:tcPr>
            <w:tcW w:w="539" w:type="pct"/>
            <w:hideMark/>
          </w:tcPr>
          <w:p w14:paraId="53CED30D"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2627B0AE" w14:textId="77777777" w:rsidTr="003F7C15">
        <w:tc>
          <w:tcPr>
            <w:tcW w:w="1497" w:type="pct"/>
            <w:hideMark/>
          </w:tcPr>
          <w:p w14:paraId="1173303B" w14:textId="77777777" w:rsidR="007B031E" w:rsidRPr="003F7C15" w:rsidRDefault="007B031E" w:rsidP="003F7C15">
            <w:pPr>
              <w:pStyle w:val="Body"/>
              <w:spacing w:after="0" w:line="240" w:lineRule="auto"/>
              <w:jc w:val="left"/>
              <w:rPr>
                <w:b/>
                <w:color w:val="000000"/>
                <w:sz w:val="16"/>
              </w:rPr>
            </w:pPr>
          </w:p>
        </w:tc>
        <w:tc>
          <w:tcPr>
            <w:tcW w:w="1716" w:type="pct"/>
            <w:hideMark/>
          </w:tcPr>
          <w:p w14:paraId="0B0E0926" w14:textId="77777777" w:rsidR="007B031E" w:rsidRPr="003F7C15" w:rsidRDefault="007B031E" w:rsidP="003F7C15">
            <w:pPr>
              <w:pStyle w:val="Body"/>
              <w:spacing w:after="0" w:line="240" w:lineRule="auto"/>
              <w:jc w:val="left"/>
              <w:rPr>
                <w:color w:val="000000"/>
                <w:sz w:val="16"/>
              </w:rPr>
            </w:pPr>
            <w:r w:rsidRPr="003F7C15">
              <w:rPr>
                <w:color w:val="000000"/>
                <w:sz w:val="16"/>
              </w:rPr>
              <w:t>Female</w:t>
            </w:r>
          </w:p>
        </w:tc>
        <w:tc>
          <w:tcPr>
            <w:tcW w:w="1248" w:type="pct"/>
            <w:hideMark/>
          </w:tcPr>
          <w:p w14:paraId="3481B5BF" w14:textId="77777777" w:rsidR="007B031E" w:rsidRPr="003F7C15" w:rsidRDefault="007B031E" w:rsidP="003F7C15">
            <w:pPr>
              <w:pStyle w:val="Body"/>
              <w:spacing w:after="0" w:line="240" w:lineRule="auto"/>
              <w:jc w:val="left"/>
              <w:rPr>
                <w:color w:val="000000"/>
                <w:sz w:val="16"/>
              </w:rPr>
            </w:pPr>
            <w:r w:rsidRPr="003F7C15">
              <w:rPr>
                <w:color w:val="000000"/>
                <w:sz w:val="16"/>
              </w:rPr>
              <w:t>29 (29.0%)</w:t>
            </w:r>
          </w:p>
        </w:tc>
        <w:tc>
          <w:tcPr>
            <w:tcW w:w="539" w:type="pct"/>
            <w:hideMark/>
          </w:tcPr>
          <w:p w14:paraId="6F262A0A"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41BF6549" w14:textId="77777777" w:rsidTr="003F7C15">
        <w:tc>
          <w:tcPr>
            <w:tcW w:w="1497" w:type="pct"/>
            <w:hideMark/>
          </w:tcPr>
          <w:p w14:paraId="5BB1BE2E" w14:textId="77777777" w:rsidR="007B031E" w:rsidRPr="003F7C15" w:rsidRDefault="007B031E" w:rsidP="003F7C15">
            <w:pPr>
              <w:pStyle w:val="Body"/>
              <w:spacing w:after="0" w:line="240" w:lineRule="auto"/>
              <w:jc w:val="left"/>
              <w:rPr>
                <w:b/>
                <w:color w:val="000000"/>
                <w:sz w:val="16"/>
              </w:rPr>
            </w:pPr>
            <w:r w:rsidRPr="003F7C15">
              <w:rPr>
                <w:b/>
                <w:color w:val="000000"/>
                <w:sz w:val="16"/>
              </w:rPr>
              <w:t>BMI category</w:t>
            </w:r>
          </w:p>
        </w:tc>
        <w:tc>
          <w:tcPr>
            <w:tcW w:w="1716" w:type="pct"/>
            <w:hideMark/>
          </w:tcPr>
          <w:p w14:paraId="4CD9C2AD" w14:textId="77777777" w:rsidR="007B031E" w:rsidRPr="003F7C15" w:rsidRDefault="007B031E" w:rsidP="003F7C15">
            <w:pPr>
              <w:pStyle w:val="Body"/>
              <w:spacing w:after="0" w:line="240" w:lineRule="auto"/>
              <w:jc w:val="left"/>
              <w:rPr>
                <w:color w:val="000000"/>
                <w:sz w:val="16"/>
              </w:rPr>
            </w:pPr>
            <w:r w:rsidRPr="003F7C15">
              <w:rPr>
                <w:color w:val="000000"/>
                <w:sz w:val="16"/>
              </w:rPr>
              <w:t>Underweight</w:t>
            </w:r>
          </w:p>
        </w:tc>
        <w:tc>
          <w:tcPr>
            <w:tcW w:w="1248" w:type="pct"/>
            <w:hideMark/>
          </w:tcPr>
          <w:p w14:paraId="590E4A20" w14:textId="77777777" w:rsidR="007B031E" w:rsidRPr="003F7C15" w:rsidRDefault="007B031E" w:rsidP="003F7C15">
            <w:pPr>
              <w:pStyle w:val="Body"/>
              <w:spacing w:after="0" w:line="240" w:lineRule="auto"/>
              <w:jc w:val="left"/>
              <w:rPr>
                <w:color w:val="000000"/>
                <w:sz w:val="16"/>
              </w:rPr>
            </w:pPr>
            <w:r w:rsidRPr="003F7C15">
              <w:rPr>
                <w:color w:val="000000"/>
                <w:sz w:val="16"/>
              </w:rPr>
              <w:t>24 (24.0%)</w:t>
            </w:r>
          </w:p>
        </w:tc>
        <w:tc>
          <w:tcPr>
            <w:tcW w:w="539" w:type="pct"/>
            <w:hideMark/>
          </w:tcPr>
          <w:p w14:paraId="143EA151"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07C8E828" w14:textId="77777777" w:rsidTr="003F7C15">
        <w:tc>
          <w:tcPr>
            <w:tcW w:w="1497" w:type="pct"/>
            <w:hideMark/>
          </w:tcPr>
          <w:p w14:paraId="669D7896" w14:textId="77777777" w:rsidR="007B031E" w:rsidRPr="003F7C15" w:rsidRDefault="007B031E" w:rsidP="003F7C15">
            <w:pPr>
              <w:pStyle w:val="Body"/>
              <w:spacing w:after="0" w:line="240" w:lineRule="auto"/>
              <w:jc w:val="left"/>
              <w:rPr>
                <w:b/>
                <w:color w:val="000000"/>
                <w:sz w:val="16"/>
              </w:rPr>
            </w:pPr>
          </w:p>
        </w:tc>
        <w:tc>
          <w:tcPr>
            <w:tcW w:w="1716" w:type="pct"/>
            <w:hideMark/>
          </w:tcPr>
          <w:p w14:paraId="4227EEE1" w14:textId="77777777" w:rsidR="007B031E" w:rsidRPr="003F7C15" w:rsidRDefault="007B031E" w:rsidP="003F7C15">
            <w:pPr>
              <w:pStyle w:val="Body"/>
              <w:spacing w:after="0" w:line="240" w:lineRule="auto"/>
              <w:jc w:val="left"/>
              <w:rPr>
                <w:color w:val="000000"/>
                <w:sz w:val="16"/>
              </w:rPr>
            </w:pPr>
            <w:r w:rsidRPr="003F7C15">
              <w:rPr>
                <w:color w:val="000000"/>
                <w:sz w:val="16"/>
              </w:rPr>
              <w:t>Normal weight</w:t>
            </w:r>
          </w:p>
        </w:tc>
        <w:tc>
          <w:tcPr>
            <w:tcW w:w="1248" w:type="pct"/>
            <w:hideMark/>
          </w:tcPr>
          <w:p w14:paraId="11040628" w14:textId="77777777" w:rsidR="007B031E" w:rsidRPr="003F7C15" w:rsidRDefault="007B031E" w:rsidP="003F7C15">
            <w:pPr>
              <w:pStyle w:val="Body"/>
              <w:spacing w:after="0" w:line="240" w:lineRule="auto"/>
              <w:jc w:val="left"/>
              <w:rPr>
                <w:color w:val="000000"/>
                <w:sz w:val="16"/>
              </w:rPr>
            </w:pPr>
            <w:r w:rsidRPr="003F7C15">
              <w:rPr>
                <w:color w:val="000000"/>
                <w:sz w:val="16"/>
              </w:rPr>
              <w:t>2 (2.0%)</w:t>
            </w:r>
          </w:p>
        </w:tc>
        <w:tc>
          <w:tcPr>
            <w:tcW w:w="539" w:type="pct"/>
            <w:hideMark/>
          </w:tcPr>
          <w:p w14:paraId="626CECE5"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6971A328" w14:textId="77777777" w:rsidTr="003F7C15">
        <w:tc>
          <w:tcPr>
            <w:tcW w:w="1497" w:type="pct"/>
            <w:hideMark/>
          </w:tcPr>
          <w:p w14:paraId="417F0DA3" w14:textId="77777777" w:rsidR="007B031E" w:rsidRPr="003F7C15" w:rsidRDefault="007B031E" w:rsidP="003F7C15">
            <w:pPr>
              <w:pStyle w:val="Body"/>
              <w:spacing w:after="0" w:line="240" w:lineRule="auto"/>
              <w:jc w:val="left"/>
              <w:rPr>
                <w:b/>
                <w:color w:val="000000"/>
                <w:sz w:val="16"/>
              </w:rPr>
            </w:pPr>
          </w:p>
        </w:tc>
        <w:tc>
          <w:tcPr>
            <w:tcW w:w="1716" w:type="pct"/>
            <w:hideMark/>
          </w:tcPr>
          <w:p w14:paraId="423B0E84" w14:textId="77777777" w:rsidR="007B031E" w:rsidRPr="003F7C15" w:rsidRDefault="007B031E" w:rsidP="003F7C15">
            <w:pPr>
              <w:pStyle w:val="Body"/>
              <w:spacing w:after="0" w:line="240" w:lineRule="auto"/>
              <w:jc w:val="left"/>
              <w:rPr>
                <w:color w:val="000000"/>
                <w:sz w:val="16"/>
              </w:rPr>
            </w:pPr>
            <w:r w:rsidRPr="003F7C15">
              <w:rPr>
                <w:color w:val="000000"/>
                <w:sz w:val="16"/>
              </w:rPr>
              <w:t>Overweight</w:t>
            </w:r>
          </w:p>
        </w:tc>
        <w:tc>
          <w:tcPr>
            <w:tcW w:w="1248" w:type="pct"/>
            <w:hideMark/>
          </w:tcPr>
          <w:p w14:paraId="6EA8B1CC" w14:textId="77777777" w:rsidR="007B031E" w:rsidRPr="003F7C15" w:rsidRDefault="007B031E" w:rsidP="003F7C15">
            <w:pPr>
              <w:pStyle w:val="Body"/>
              <w:spacing w:after="0" w:line="240" w:lineRule="auto"/>
              <w:jc w:val="left"/>
              <w:rPr>
                <w:color w:val="000000"/>
                <w:sz w:val="16"/>
              </w:rPr>
            </w:pPr>
            <w:r w:rsidRPr="003F7C15">
              <w:rPr>
                <w:color w:val="000000"/>
                <w:sz w:val="16"/>
              </w:rPr>
              <w:t>42 (42.0%)</w:t>
            </w:r>
          </w:p>
        </w:tc>
        <w:tc>
          <w:tcPr>
            <w:tcW w:w="539" w:type="pct"/>
            <w:hideMark/>
          </w:tcPr>
          <w:p w14:paraId="58B9C2C3"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02E56207" w14:textId="77777777" w:rsidTr="003F7C15">
        <w:tc>
          <w:tcPr>
            <w:tcW w:w="1497" w:type="pct"/>
            <w:hideMark/>
          </w:tcPr>
          <w:p w14:paraId="478D1A16" w14:textId="77777777" w:rsidR="007B031E" w:rsidRPr="003F7C15" w:rsidRDefault="007B031E" w:rsidP="003F7C15">
            <w:pPr>
              <w:pStyle w:val="Body"/>
              <w:spacing w:after="0" w:line="240" w:lineRule="auto"/>
              <w:jc w:val="left"/>
              <w:rPr>
                <w:b/>
                <w:color w:val="000000"/>
                <w:sz w:val="16"/>
              </w:rPr>
            </w:pPr>
          </w:p>
        </w:tc>
        <w:tc>
          <w:tcPr>
            <w:tcW w:w="1716" w:type="pct"/>
            <w:hideMark/>
          </w:tcPr>
          <w:p w14:paraId="0B2E8EB2" w14:textId="77777777" w:rsidR="007B031E" w:rsidRPr="003F7C15" w:rsidRDefault="007B031E" w:rsidP="003F7C15">
            <w:pPr>
              <w:pStyle w:val="Body"/>
              <w:spacing w:after="0" w:line="240" w:lineRule="auto"/>
              <w:jc w:val="left"/>
              <w:rPr>
                <w:color w:val="000000"/>
                <w:sz w:val="16"/>
              </w:rPr>
            </w:pPr>
            <w:r w:rsidRPr="003F7C15">
              <w:rPr>
                <w:color w:val="000000"/>
                <w:sz w:val="16"/>
              </w:rPr>
              <w:t>Obese</w:t>
            </w:r>
          </w:p>
        </w:tc>
        <w:tc>
          <w:tcPr>
            <w:tcW w:w="1248" w:type="pct"/>
            <w:hideMark/>
          </w:tcPr>
          <w:p w14:paraId="1424E7D5" w14:textId="77777777" w:rsidR="007B031E" w:rsidRPr="003F7C15" w:rsidRDefault="007B031E" w:rsidP="003F7C15">
            <w:pPr>
              <w:pStyle w:val="Body"/>
              <w:spacing w:after="0" w:line="240" w:lineRule="auto"/>
              <w:jc w:val="left"/>
              <w:rPr>
                <w:color w:val="000000"/>
                <w:sz w:val="16"/>
              </w:rPr>
            </w:pPr>
            <w:r w:rsidRPr="003F7C15">
              <w:rPr>
                <w:color w:val="000000"/>
                <w:sz w:val="16"/>
              </w:rPr>
              <w:t>32 (32.0%)</w:t>
            </w:r>
          </w:p>
        </w:tc>
        <w:tc>
          <w:tcPr>
            <w:tcW w:w="539" w:type="pct"/>
            <w:hideMark/>
          </w:tcPr>
          <w:p w14:paraId="66DE8D73"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7CAC727A" w14:textId="77777777" w:rsidTr="003F7C15">
        <w:tc>
          <w:tcPr>
            <w:tcW w:w="1497" w:type="pct"/>
            <w:hideMark/>
          </w:tcPr>
          <w:p w14:paraId="34EE5393" w14:textId="77777777" w:rsidR="007B031E" w:rsidRPr="003F7C15" w:rsidRDefault="007B031E" w:rsidP="003F7C15">
            <w:pPr>
              <w:pStyle w:val="Body"/>
              <w:spacing w:after="0" w:line="240" w:lineRule="auto"/>
              <w:jc w:val="left"/>
              <w:rPr>
                <w:b/>
                <w:color w:val="000000"/>
                <w:sz w:val="16"/>
              </w:rPr>
            </w:pPr>
            <w:r w:rsidRPr="003F7C15">
              <w:rPr>
                <w:b/>
                <w:color w:val="000000"/>
                <w:sz w:val="16"/>
              </w:rPr>
              <w:t>Use of assistive device</w:t>
            </w:r>
          </w:p>
        </w:tc>
        <w:tc>
          <w:tcPr>
            <w:tcW w:w="1716" w:type="pct"/>
            <w:hideMark/>
          </w:tcPr>
          <w:p w14:paraId="36090E9D" w14:textId="77777777" w:rsidR="007B031E" w:rsidRPr="003F7C15" w:rsidRDefault="007B031E" w:rsidP="003F7C15">
            <w:pPr>
              <w:pStyle w:val="Body"/>
              <w:spacing w:after="0" w:line="240" w:lineRule="auto"/>
              <w:jc w:val="left"/>
              <w:rPr>
                <w:color w:val="000000"/>
                <w:sz w:val="16"/>
              </w:rPr>
            </w:pPr>
            <w:r w:rsidRPr="003F7C15">
              <w:rPr>
                <w:color w:val="000000"/>
                <w:sz w:val="16"/>
              </w:rPr>
              <w:t>None</w:t>
            </w:r>
          </w:p>
        </w:tc>
        <w:tc>
          <w:tcPr>
            <w:tcW w:w="1248" w:type="pct"/>
            <w:hideMark/>
          </w:tcPr>
          <w:p w14:paraId="14827035" w14:textId="77777777" w:rsidR="007B031E" w:rsidRPr="003F7C15" w:rsidRDefault="007B031E" w:rsidP="003F7C15">
            <w:pPr>
              <w:pStyle w:val="Body"/>
              <w:spacing w:after="0" w:line="240" w:lineRule="auto"/>
              <w:jc w:val="left"/>
              <w:rPr>
                <w:color w:val="000000"/>
                <w:sz w:val="16"/>
              </w:rPr>
            </w:pPr>
            <w:r w:rsidRPr="003F7C15">
              <w:rPr>
                <w:color w:val="000000"/>
                <w:sz w:val="16"/>
              </w:rPr>
              <w:t>45 (45.0%)</w:t>
            </w:r>
          </w:p>
        </w:tc>
        <w:tc>
          <w:tcPr>
            <w:tcW w:w="539" w:type="pct"/>
            <w:hideMark/>
          </w:tcPr>
          <w:p w14:paraId="6B176C8E"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7472A9B7" w14:textId="77777777" w:rsidTr="003F7C15">
        <w:tc>
          <w:tcPr>
            <w:tcW w:w="1497" w:type="pct"/>
            <w:hideMark/>
          </w:tcPr>
          <w:p w14:paraId="7EB0ABED" w14:textId="77777777" w:rsidR="007B031E" w:rsidRPr="003F7C15" w:rsidRDefault="007B031E" w:rsidP="003F7C15">
            <w:pPr>
              <w:pStyle w:val="Body"/>
              <w:spacing w:after="0" w:line="240" w:lineRule="auto"/>
              <w:jc w:val="left"/>
              <w:rPr>
                <w:b/>
                <w:color w:val="000000"/>
                <w:sz w:val="16"/>
              </w:rPr>
            </w:pPr>
          </w:p>
        </w:tc>
        <w:tc>
          <w:tcPr>
            <w:tcW w:w="1716" w:type="pct"/>
            <w:hideMark/>
          </w:tcPr>
          <w:p w14:paraId="5AC09BCE" w14:textId="77777777" w:rsidR="007B031E" w:rsidRPr="003F7C15" w:rsidRDefault="007B031E" w:rsidP="003F7C15">
            <w:pPr>
              <w:pStyle w:val="Body"/>
              <w:spacing w:after="0" w:line="240" w:lineRule="auto"/>
              <w:jc w:val="left"/>
              <w:rPr>
                <w:color w:val="000000"/>
                <w:sz w:val="16"/>
              </w:rPr>
            </w:pPr>
            <w:r w:rsidRPr="003F7C15">
              <w:rPr>
                <w:color w:val="000000"/>
                <w:sz w:val="16"/>
              </w:rPr>
              <w:t>Walking stick</w:t>
            </w:r>
          </w:p>
        </w:tc>
        <w:tc>
          <w:tcPr>
            <w:tcW w:w="1248" w:type="pct"/>
            <w:hideMark/>
          </w:tcPr>
          <w:p w14:paraId="2A261FA7" w14:textId="77777777" w:rsidR="007B031E" w:rsidRPr="003F7C15" w:rsidRDefault="007B031E" w:rsidP="003F7C15">
            <w:pPr>
              <w:pStyle w:val="Body"/>
              <w:spacing w:after="0" w:line="240" w:lineRule="auto"/>
              <w:jc w:val="left"/>
              <w:rPr>
                <w:color w:val="000000"/>
                <w:sz w:val="16"/>
              </w:rPr>
            </w:pPr>
            <w:r w:rsidRPr="003F7C15">
              <w:rPr>
                <w:color w:val="000000"/>
                <w:sz w:val="16"/>
              </w:rPr>
              <w:t>39 (39.0%)</w:t>
            </w:r>
          </w:p>
        </w:tc>
        <w:tc>
          <w:tcPr>
            <w:tcW w:w="539" w:type="pct"/>
            <w:hideMark/>
          </w:tcPr>
          <w:p w14:paraId="13992023"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58CBC308" w14:textId="77777777" w:rsidTr="003F7C15">
        <w:tc>
          <w:tcPr>
            <w:tcW w:w="1497" w:type="pct"/>
            <w:hideMark/>
          </w:tcPr>
          <w:p w14:paraId="6DE5CADD" w14:textId="77777777" w:rsidR="007B031E" w:rsidRPr="003F7C15" w:rsidRDefault="007B031E" w:rsidP="003F7C15">
            <w:pPr>
              <w:pStyle w:val="Body"/>
              <w:spacing w:after="0" w:line="240" w:lineRule="auto"/>
              <w:jc w:val="left"/>
              <w:rPr>
                <w:b/>
                <w:color w:val="000000"/>
                <w:sz w:val="16"/>
              </w:rPr>
            </w:pPr>
          </w:p>
        </w:tc>
        <w:tc>
          <w:tcPr>
            <w:tcW w:w="1716" w:type="pct"/>
            <w:hideMark/>
          </w:tcPr>
          <w:p w14:paraId="23A46404" w14:textId="77777777" w:rsidR="007B031E" w:rsidRPr="003F7C15" w:rsidRDefault="007B031E" w:rsidP="003F7C15">
            <w:pPr>
              <w:pStyle w:val="Body"/>
              <w:spacing w:after="0" w:line="240" w:lineRule="auto"/>
              <w:jc w:val="left"/>
              <w:rPr>
                <w:color w:val="000000"/>
                <w:sz w:val="16"/>
              </w:rPr>
            </w:pPr>
            <w:r w:rsidRPr="003F7C15">
              <w:rPr>
                <w:color w:val="000000"/>
                <w:sz w:val="16"/>
              </w:rPr>
              <w:t>Walker</w:t>
            </w:r>
          </w:p>
        </w:tc>
        <w:tc>
          <w:tcPr>
            <w:tcW w:w="1248" w:type="pct"/>
            <w:hideMark/>
          </w:tcPr>
          <w:p w14:paraId="749DBE4C" w14:textId="77777777" w:rsidR="007B031E" w:rsidRPr="003F7C15" w:rsidRDefault="007B031E" w:rsidP="003F7C15">
            <w:pPr>
              <w:pStyle w:val="Body"/>
              <w:spacing w:after="0" w:line="240" w:lineRule="auto"/>
              <w:jc w:val="left"/>
              <w:rPr>
                <w:color w:val="000000"/>
                <w:sz w:val="16"/>
              </w:rPr>
            </w:pPr>
            <w:r w:rsidRPr="003F7C15">
              <w:rPr>
                <w:color w:val="000000"/>
                <w:sz w:val="16"/>
              </w:rPr>
              <w:t>16 (16.0%)</w:t>
            </w:r>
          </w:p>
        </w:tc>
        <w:tc>
          <w:tcPr>
            <w:tcW w:w="539" w:type="pct"/>
            <w:hideMark/>
          </w:tcPr>
          <w:p w14:paraId="629A696F"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2555229A" w14:textId="77777777" w:rsidTr="003F7C15">
        <w:tc>
          <w:tcPr>
            <w:tcW w:w="1497" w:type="pct"/>
            <w:hideMark/>
          </w:tcPr>
          <w:p w14:paraId="1C05DF7A" w14:textId="77777777" w:rsidR="007B031E" w:rsidRPr="003F7C15" w:rsidRDefault="007B031E" w:rsidP="003F7C15">
            <w:pPr>
              <w:pStyle w:val="Body"/>
              <w:spacing w:after="0" w:line="240" w:lineRule="auto"/>
              <w:jc w:val="left"/>
              <w:rPr>
                <w:b/>
                <w:color w:val="000000"/>
                <w:sz w:val="16"/>
              </w:rPr>
            </w:pPr>
            <w:r w:rsidRPr="003F7C15">
              <w:rPr>
                <w:b/>
                <w:color w:val="000000"/>
                <w:sz w:val="16"/>
              </w:rPr>
              <w:t>Treatment plan</w:t>
            </w:r>
          </w:p>
        </w:tc>
        <w:tc>
          <w:tcPr>
            <w:tcW w:w="1716" w:type="pct"/>
            <w:hideMark/>
          </w:tcPr>
          <w:p w14:paraId="285B0F6F" w14:textId="77777777" w:rsidR="007B031E" w:rsidRPr="003F7C15" w:rsidRDefault="007B031E" w:rsidP="003F7C15">
            <w:pPr>
              <w:pStyle w:val="Body"/>
              <w:spacing w:after="0" w:line="240" w:lineRule="auto"/>
              <w:jc w:val="left"/>
              <w:rPr>
                <w:color w:val="000000"/>
                <w:sz w:val="16"/>
              </w:rPr>
            </w:pPr>
            <w:r w:rsidRPr="003F7C15">
              <w:rPr>
                <w:color w:val="000000"/>
                <w:sz w:val="16"/>
              </w:rPr>
              <w:t>Oral medication</w:t>
            </w:r>
          </w:p>
        </w:tc>
        <w:tc>
          <w:tcPr>
            <w:tcW w:w="1248" w:type="pct"/>
            <w:hideMark/>
          </w:tcPr>
          <w:p w14:paraId="486BCD12" w14:textId="77777777" w:rsidR="007B031E" w:rsidRPr="003F7C15" w:rsidRDefault="007B031E" w:rsidP="003F7C15">
            <w:pPr>
              <w:pStyle w:val="Body"/>
              <w:spacing w:after="0" w:line="240" w:lineRule="auto"/>
              <w:jc w:val="left"/>
              <w:rPr>
                <w:color w:val="000000"/>
                <w:sz w:val="16"/>
              </w:rPr>
            </w:pPr>
            <w:r w:rsidRPr="003F7C15">
              <w:rPr>
                <w:color w:val="000000"/>
                <w:sz w:val="16"/>
              </w:rPr>
              <w:t>37 (37.0%)</w:t>
            </w:r>
          </w:p>
        </w:tc>
        <w:tc>
          <w:tcPr>
            <w:tcW w:w="539" w:type="pct"/>
            <w:hideMark/>
          </w:tcPr>
          <w:p w14:paraId="6AA70AC5"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7FBC69D6" w14:textId="77777777" w:rsidTr="003F7C15">
        <w:tc>
          <w:tcPr>
            <w:tcW w:w="1497" w:type="pct"/>
            <w:hideMark/>
          </w:tcPr>
          <w:p w14:paraId="4E1D2B29" w14:textId="77777777" w:rsidR="007B031E" w:rsidRPr="003F7C15" w:rsidRDefault="007B031E" w:rsidP="003F7C15">
            <w:pPr>
              <w:pStyle w:val="Body"/>
              <w:spacing w:after="0" w:line="240" w:lineRule="auto"/>
              <w:jc w:val="left"/>
              <w:rPr>
                <w:b/>
                <w:color w:val="000000"/>
                <w:sz w:val="16"/>
              </w:rPr>
            </w:pPr>
          </w:p>
        </w:tc>
        <w:tc>
          <w:tcPr>
            <w:tcW w:w="1716" w:type="pct"/>
            <w:hideMark/>
          </w:tcPr>
          <w:p w14:paraId="500DAD18" w14:textId="77777777" w:rsidR="007B031E" w:rsidRPr="003F7C15" w:rsidRDefault="007B031E" w:rsidP="003F7C15">
            <w:pPr>
              <w:pStyle w:val="Body"/>
              <w:spacing w:after="0" w:line="240" w:lineRule="auto"/>
              <w:jc w:val="left"/>
              <w:rPr>
                <w:color w:val="000000"/>
                <w:sz w:val="16"/>
              </w:rPr>
            </w:pPr>
            <w:r w:rsidRPr="003F7C15">
              <w:rPr>
                <w:color w:val="000000"/>
                <w:sz w:val="16"/>
              </w:rPr>
              <w:t>Insulin</w:t>
            </w:r>
          </w:p>
        </w:tc>
        <w:tc>
          <w:tcPr>
            <w:tcW w:w="1248" w:type="pct"/>
            <w:hideMark/>
          </w:tcPr>
          <w:p w14:paraId="37B64C75" w14:textId="77777777" w:rsidR="007B031E" w:rsidRPr="003F7C15" w:rsidRDefault="007B031E" w:rsidP="003F7C15">
            <w:pPr>
              <w:pStyle w:val="Body"/>
              <w:spacing w:after="0" w:line="240" w:lineRule="auto"/>
              <w:jc w:val="left"/>
              <w:rPr>
                <w:color w:val="000000"/>
                <w:sz w:val="16"/>
              </w:rPr>
            </w:pPr>
            <w:r w:rsidRPr="003F7C15">
              <w:rPr>
                <w:color w:val="000000"/>
                <w:sz w:val="16"/>
              </w:rPr>
              <w:t>45 (45.0%)</w:t>
            </w:r>
          </w:p>
        </w:tc>
        <w:tc>
          <w:tcPr>
            <w:tcW w:w="539" w:type="pct"/>
            <w:hideMark/>
          </w:tcPr>
          <w:p w14:paraId="679FFD11"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r w:rsidR="007B031E" w:rsidRPr="003F7C15" w14:paraId="4EB8061B" w14:textId="77777777" w:rsidTr="003F7C15">
        <w:tc>
          <w:tcPr>
            <w:tcW w:w="1497" w:type="pct"/>
            <w:tcBorders>
              <w:bottom w:val="single" w:sz="4" w:space="0" w:color="000000"/>
            </w:tcBorders>
            <w:hideMark/>
          </w:tcPr>
          <w:p w14:paraId="7A352FD3" w14:textId="77777777" w:rsidR="007B031E" w:rsidRPr="003F7C15" w:rsidRDefault="007B031E" w:rsidP="003F7C15">
            <w:pPr>
              <w:pStyle w:val="Body"/>
              <w:spacing w:after="0" w:line="240" w:lineRule="auto"/>
              <w:jc w:val="left"/>
              <w:rPr>
                <w:b/>
                <w:color w:val="000000"/>
                <w:sz w:val="16"/>
              </w:rPr>
            </w:pPr>
          </w:p>
        </w:tc>
        <w:tc>
          <w:tcPr>
            <w:tcW w:w="1716" w:type="pct"/>
            <w:tcBorders>
              <w:bottom w:val="single" w:sz="4" w:space="0" w:color="000000"/>
            </w:tcBorders>
            <w:hideMark/>
          </w:tcPr>
          <w:p w14:paraId="65789FDF" w14:textId="77777777" w:rsidR="007B031E" w:rsidRPr="003F7C15" w:rsidRDefault="007B031E" w:rsidP="003F7C15">
            <w:pPr>
              <w:pStyle w:val="Body"/>
              <w:spacing w:after="0" w:line="240" w:lineRule="auto"/>
              <w:jc w:val="left"/>
              <w:rPr>
                <w:color w:val="000000"/>
                <w:sz w:val="16"/>
              </w:rPr>
            </w:pPr>
            <w:r w:rsidRPr="003F7C15">
              <w:rPr>
                <w:color w:val="000000"/>
                <w:sz w:val="16"/>
              </w:rPr>
              <w:t>Oral medication + insulin</w:t>
            </w:r>
          </w:p>
        </w:tc>
        <w:tc>
          <w:tcPr>
            <w:tcW w:w="1248" w:type="pct"/>
            <w:tcBorders>
              <w:bottom w:val="single" w:sz="4" w:space="0" w:color="000000"/>
            </w:tcBorders>
            <w:hideMark/>
          </w:tcPr>
          <w:p w14:paraId="5F9A0F58" w14:textId="77777777" w:rsidR="007B031E" w:rsidRPr="003F7C15" w:rsidRDefault="007B031E" w:rsidP="003F7C15">
            <w:pPr>
              <w:pStyle w:val="Body"/>
              <w:spacing w:after="0" w:line="240" w:lineRule="auto"/>
              <w:jc w:val="left"/>
              <w:rPr>
                <w:color w:val="000000"/>
                <w:sz w:val="16"/>
              </w:rPr>
            </w:pPr>
            <w:r w:rsidRPr="003F7C15">
              <w:rPr>
                <w:color w:val="000000"/>
                <w:sz w:val="16"/>
              </w:rPr>
              <w:t>18 (18.0%)</w:t>
            </w:r>
          </w:p>
        </w:tc>
        <w:tc>
          <w:tcPr>
            <w:tcW w:w="539" w:type="pct"/>
            <w:tcBorders>
              <w:bottom w:val="single" w:sz="4" w:space="0" w:color="000000"/>
            </w:tcBorders>
            <w:hideMark/>
          </w:tcPr>
          <w:p w14:paraId="344B7AF0"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r>
    </w:tbl>
    <w:p w14:paraId="04CF0723" w14:textId="77777777" w:rsidR="007B031E" w:rsidRPr="007B031E" w:rsidRDefault="007B031E" w:rsidP="007B031E">
      <w:pPr>
        <w:pStyle w:val="Body"/>
      </w:pPr>
      <w:r w:rsidRPr="007B031E">
        <w:lastRenderedPageBreak/>
        <w:t>Daily step-count distribution demonstrated a predominantly low-activity profile. Most participants recorded fewer than 3000 steps/day, accounting for 67.0% of the sample. A further 25.0% achieved 3000–6000 steps/day, while only 5.0% recorded 6000–9000 steps/day and 3.0% exceeded 9000 steps/day. Overall, 92.0% of participants accumulated fewer than 6000 steps/day, indicating that low ambulatory activity was highly prevalent in this sample.</w:t>
      </w:r>
    </w:p>
    <w:p w14:paraId="15518E94" w14:textId="77777777" w:rsidR="007B031E" w:rsidRPr="007B031E" w:rsidRDefault="007B031E" w:rsidP="003F7C15">
      <w:pPr>
        <w:pStyle w:val="Caption"/>
      </w:pPr>
      <w:r w:rsidRPr="007B031E">
        <w:t>Table 2. Distribution of Daily Step Count Categories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3721"/>
        <w:gridCol w:w="989"/>
        <w:gridCol w:w="1255"/>
      </w:tblGrid>
      <w:tr w:rsidR="007B031E" w:rsidRPr="003F7C15" w14:paraId="04FDE38F" w14:textId="77777777" w:rsidTr="003F7C15">
        <w:tc>
          <w:tcPr>
            <w:tcW w:w="1696" w:type="pct"/>
            <w:tcBorders>
              <w:top w:val="single" w:sz="4" w:space="0" w:color="000000"/>
              <w:bottom w:val="single" w:sz="4" w:space="0" w:color="000000"/>
            </w:tcBorders>
            <w:hideMark/>
          </w:tcPr>
          <w:p w14:paraId="74D77477" w14:textId="77777777" w:rsidR="007B031E" w:rsidRPr="003F7C15" w:rsidRDefault="007B031E" w:rsidP="003F7C15">
            <w:pPr>
              <w:pStyle w:val="Body"/>
              <w:spacing w:after="0" w:line="240" w:lineRule="auto"/>
              <w:jc w:val="left"/>
              <w:rPr>
                <w:b/>
                <w:color w:val="000000"/>
                <w:sz w:val="16"/>
              </w:rPr>
            </w:pPr>
            <w:r w:rsidRPr="003F7C15">
              <w:rPr>
                <w:b/>
                <w:color w:val="000000"/>
                <w:sz w:val="16"/>
              </w:rPr>
              <w:t>Variable</w:t>
            </w:r>
          </w:p>
        </w:tc>
        <w:tc>
          <w:tcPr>
            <w:tcW w:w="2061" w:type="pct"/>
            <w:tcBorders>
              <w:top w:val="single" w:sz="4" w:space="0" w:color="000000"/>
              <w:bottom w:val="single" w:sz="4" w:space="0" w:color="000000"/>
            </w:tcBorders>
            <w:hideMark/>
          </w:tcPr>
          <w:p w14:paraId="089BFBFC" w14:textId="77777777" w:rsidR="007B031E" w:rsidRPr="003F7C15" w:rsidRDefault="007B031E" w:rsidP="003F7C15">
            <w:pPr>
              <w:pStyle w:val="Body"/>
              <w:spacing w:after="0" w:line="240" w:lineRule="auto"/>
              <w:jc w:val="left"/>
              <w:rPr>
                <w:b/>
                <w:color w:val="000000"/>
                <w:sz w:val="16"/>
              </w:rPr>
            </w:pPr>
            <w:r w:rsidRPr="003F7C15">
              <w:rPr>
                <w:b/>
                <w:color w:val="000000"/>
                <w:sz w:val="16"/>
              </w:rPr>
              <w:t>Category</w:t>
            </w:r>
          </w:p>
        </w:tc>
        <w:tc>
          <w:tcPr>
            <w:tcW w:w="548" w:type="pct"/>
            <w:tcBorders>
              <w:top w:val="single" w:sz="4" w:space="0" w:color="000000"/>
              <w:bottom w:val="single" w:sz="4" w:space="0" w:color="000000"/>
            </w:tcBorders>
            <w:hideMark/>
          </w:tcPr>
          <w:p w14:paraId="631EA4AC" w14:textId="77777777" w:rsidR="007B031E" w:rsidRPr="003F7C15" w:rsidRDefault="007B031E" w:rsidP="003F7C15">
            <w:pPr>
              <w:pStyle w:val="Body"/>
              <w:spacing w:after="0" w:line="240" w:lineRule="auto"/>
              <w:jc w:val="left"/>
              <w:rPr>
                <w:b/>
                <w:color w:val="000000"/>
                <w:sz w:val="16"/>
              </w:rPr>
            </w:pPr>
            <w:r w:rsidRPr="003F7C15">
              <w:rPr>
                <w:b/>
                <w:color w:val="000000"/>
                <w:sz w:val="16"/>
              </w:rPr>
              <w:t>n</w:t>
            </w:r>
          </w:p>
        </w:tc>
        <w:tc>
          <w:tcPr>
            <w:tcW w:w="696" w:type="pct"/>
            <w:tcBorders>
              <w:top w:val="single" w:sz="4" w:space="0" w:color="000000"/>
              <w:bottom w:val="single" w:sz="4" w:space="0" w:color="000000"/>
            </w:tcBorders>
            <w:hideMark/>
          </w:tcPr>
          <w:p w14:paraId="29A0482E" w14:textId="77777777" w:rsidR="007B031E" w:rsidRPr="003F7C15" w:rsidRDefault="007B031E" w:rsidP="003F7C15">
            <w:pPr>
              <w:pStyle w:val="Body"/>
              <w:spacing w:after="0" w:line="240" w:lineRule="auto"/>
              <w:jc w:val="left"/>
              <w:rPr>
                <w:b/>
                <w:color w:val="000000"/>
                <w:sz w:val="16"/>
              </w:rPr>
            </w:pPr>
            <w:r w:rsidRPr="003F7C15">
              <w:rPr>
                <w:b/>
                <w:color w:val="000000"/>
                <w:sz w:val="16"/>
              </w:rPr>
              <w:t>%</w:t>
            </w:r>
          </w:p>
        </w:tc>
      </w:tr>
      <w:tr w:rsidR="007B031E" w:rsidRPr="003F7C15" w14:paraId="22957D49" w14:textId="77777777" w:rsidTr="003F7C15">
        <w:tc>
          <w:tcPr>
            <w:tcW w:w="1696" w:type="pct"/>
            <w:tcBorders>
              <w:top w:val="single" w:sz="4" w:space="0" w:color="000000"/>
            </w:tcBorders>
            <w:hideMark/>
          </w:tcPr>
          <w:p w14:paraId="1B0F8612" w14:textId="77777777" w:rsidR="007B031E" w:rsidRPr="003F7C15" w:rsidRDefault="007B031E" w:rsidP="003F7C15">
            <w:pPr>
              <w:pStyle w:val="Body"/>
              <w:spacing w:after="0" w:line="240" w:lineRule="auto"/>
              <w:jc w:val="left"/>
              <w:rPr>
                <w:b/>
                <w:color w:val="000000"/>
                <w:sz w:val="16"/>
              </w:rPr>
            </w:pPr>
            <w:r w:rsidRPr="003F7C15">
              <w:rPr>
                <w:b/>
                <w:color w:val="000000"/>
                <w:sz w:val="16"/>
              </w:rPr>
              <w:t>Daily step count</w:t>
            </w:r>
          </w:p>
        </w:tc>
        <w:tc>
          <w:tcPr>
            <w:tcW w:w="2061" w:type="pct"/>
            <w:tcBorders>
              <w:top w:val="single" w:sz="4" w:space="0" w:color="000000"/>
            </w:tcBorders>
            <w:hideMark/>
          </w:tcPr>
          <w:p w14:paraId="3D971EF4" w14:textId="77777777" w:rsidR="007B031E" w:rsidRPr="003F7C15" w:rsidRDefault="007B031E" w:rsidP="003F7C15">
            <w:pPr>
              <w:pStyle w:val="Body"/>
              <w:spacing w:after="0" w:line="240" w:lineRule="auto"/>
              <w:jc w:val="left"/>
              <w:rPr>
                <w:color w:val="000000"/>
                <w:sz w:val="16"/>
              </w:rPr>
            </w:pPr>
            <w:r w:rsidRPr="003F7C15">
              <w:rPr>
                <w:color w:val="000000"/>
                <w:sz w:val="16"/>
              </w:rPr>
              <w:t>&lt;3000 steps/day</w:t>
            </w:r>
          </w:p>
        </w:tc>
        <w:tc>
          <w:tcPr>
            <w:tcW w:w="548" w:type="pct"/>
            <w:tcBorders>
              <w:top w:val="single" w:sz="4" w:space="0" w:color="000000"/>
            </w:tcBorders>
            <w:hideMark/>
          </w:tcPr>
          <w:p w14:paraId="698B5C3E" w14:textId="77777777" w:rsidR="007B031E" w:rsidRPr="003F7C15" w:rsidRDefault="007B031E" w:rsidP="003F7C15">
            <w:pPr>
              <w:pStyle w:val="Body"/>
              <w:spacing w:after="0" w:line="240" w:lineRule="auto"/>
              <w:jc w:val="left"/>
              <w:rPr>
                <w:color w:val="000000"/>
                <w:sz w:val="16"/>
              </w:rPr>
            </w:pPr>
            <w:r w:rsidRPr="003F7C15">
              <w:rPr>
                <w:color w:val="000000"/>
                <w:sz w:val="16"/>
              </w:rPr>
              <w:t>67</w:t>
            </w:r>
          </w:p>
        </w:tc>
        <w:tc>
          <w:tcPr>
            <w:tcW w:w="696" w:type="pct"/>
            <w:tcBorders>
              <w:top w:val="single" w:sz="4" w:space="0" w:color="000000"/>
            </w:tcBorders>
            <w:hideMark/>
          </w:tcPr>
          <w:p w14:paraId="225E9C0E" w14:textId="77777777" w:rsidR="007B031E" w:rsidRPr="003F7C15" w:rsidRDefault="007B031E" w:rsidP="003F7C15">
            <w:pPr>
              <w:pStyle w:val="Body"/>
              <w:spacing w:after="0" w:line="240" w:lineRule="auto"/>
              <w:jc w:val="left"/>
              <w:rPr>
                <w:color w:val="000000"/>
                <w:sz w:val="16"/>
              </w:rPr>
            </w:pPr>
            <w:r w:rsidRPr="003F7C15">
              <w:rPr>
                <w:color w:val="000000"/>
                <w:sz w:val="16"/>
              </w:rPr>
              <w:t>67.0</w:t>
            </w:r>
          </w:p>
        </w:tc>
      </w:tr>
      <w:tr w:rsidR="007B031E" w:rsidRPr="003F7C15" w14:paraId="7950C96B" w14:textId="77777777" w:rsidTr="003F7C15">
        <w:tc>
          <w:tcPr>
            <w:tcW w:w="1696" w:type="pct"/>
            <w:hideMark/>
          </w:tcPr>
          <w:p w14:paraId="5BF415D6" w14:textId="77777777" w:rsidR="007B031E" w:rsidRPr="003F7C15" w:rsidRDefault="007B031E" w:rsidP="003F7C15">
            <w:pPr>
              <w:pStyle w:val="Body"/>
              <w:spacing w:after="0" w:line="240" w:lineRule="auto"/>
              <w:jc w:val="left"/>
              <w:rPr>
                <w:b/>
                <w:color w:val="000000"/>
                <w:sz w:val="16"/>
              </w:rPr>
            </w:pPr>
          </w:p>
        </w:tc>
        <w:tc>
          <w:tcPr>
            <w:tcW w:w="2061" w:type="pct"/>
            <w:hideMark/>
          </w:tcPr>
          <w:p w14:paraId="3DF6950C" w14:textId="77777777" w:rsidR="007B031E" w:rsidRPr="003F7C15" w:rsidRDefault="007B031E" w:rsidP="003F7C15">
            <w:pPr>
              <w:pStyle w:val="Body"/>
              <w:spacing w:after="0" w:line="240" w:lineRule="auto"/>
              <w:jc w:val="left"/>
              <w:rPr>
                <w:color w:val="000000"/>
                <w:sz w:val="16"/>
              </w:rPr>
            </w:pPr>
            <w:r w:rsidRPr="003F7C15">
              <w:rPr>
                <w:color w:val="000000"/>
                <w:sz w:val="16"/>
              </w:rPr>
              <w:t>3000–6000 steps/day</w:t>
            </w:r>
          </w:p>
        </w:tc>
        <w:tc>
          <w:tcPr>
            <w:tcW w:w="548" w:type="pct"/>
            <w:hideMark/>
          </w:tcPr>
          <w:p w14:paraId="37C0D330" w14:textId="77777777" w:rsidR="007B031E" w:rsidRPr="003F7C15" w:rsidRDefault="007B031E" w:rsidP="003F7C15">
            <w:pPr>
              <w:pStyle w:val="Body"/>
              <w:spacing w:after="0" w:line="240" w:lineRule="auto"/>
              <w:jc w:val="left"/>
              <w:rPr>
                <w:color w:val="000000"/>
                <w:sz w:val="16"/>
              </w:rPr>
            </w:pPr>
            <w:r w:rsidRPr="003F7C15">
              <w:rPr>
                <w:color w:val="000000"/>
                <w:sz w:val="16"/>
              </w:rPr>
              <w:t>25</w:t>
            </w:r>
          </w:p>
        </w:tc>
        <w:tc>
          <w:tcPr>
            <w:tcW w:w="696" w:type="pct"/>
            <w:hideMark/>
          </w:tcPr>
          <w:p w14:paraId="7B72AC81" w14:textId="77777777" w:rsidR="007B031E" w:rsidRPr="003F7C15" w:rsidRDefault="007B031E" w:rsidP="003F7C15">
            <w:pPr>
              <w:pStyle w:val="Body"/>
              <w:spacing w:after="0" w:line="240" w:lineRule="auto"/>
              <w:jc w:val="left"/>
              <w:rPr>
                <w:color w:val="000000"/>
                <w:sz w:val="16"/>
              </w:rPr>
            </w:pPr>
            <w:r w:rsidRPr="003F7C15">
              <w:rPr>
                <w:color w:val="000000"/>
                <w:sz w:val="16"/>
              </w:rPr>
              <w:t>25.0</w:t>
            </w:r>
          </w:p>
        </w:tc>
      </w:tr>
      <w:tr w:rsidR="007B031E" w:rsidRPr="003F7C15" w14:paraId="22727CDC" w14:textId="77777777" w:rsidTr="003F7C15">
        <w:tc>
          <w:tcPr>
            <w:tcW w:w="1696" w:type="pct"/>
            <w:hideMark/>
          </w:tcPr>
          <w:p w14:paraId="2B4C181E" w14:textId="77777777" w:rsidR="007B031E" w:rsidRPr="003F7C15" w:rsidRDefault="007B031E" w:rsidP="003F7C15">
            <w:pPr>
              <w:pStyle w:val="Body"/>
              <w:spacing w:after="0" w:line="240" w:lineRule="auto"/>
              <w:jc w:val="left"/>
              <w:rPr>
                <w:b/>
                <w:color w:val="000000"/>
                <w:sz w:val="16"/>
              </w:rPr>
            </w:pPr>
          </w:p>
        </w:tc>
        <w:tc>
          <w:tcPr>
            <w:tcW w:w="2061" w:type="pct"/>
            <w:hideMark/>
          </w:tcPr>
          <w:p w14:paraId="2145EF52" w14:textId="77777777" w:rsidR="007B031E" w:rsidRPr="003F7C15" w:rsidRDefault="007B031E" w:rsidP="003F7C15">
            <w:pPr>
              <w:pStyle w:val="Body"/>
              <w:spacing w:after="0" w:line="240" w:lineRule="auto"/>
              <w:jc w:val="left"/>
              <w:rPr>
                <w:color w:val="000000"/>
                <w:sz w:val="16"/>
              </w:rPr>
            </w:pPr>
            <w:r w:rsidRPr="003F7C15">
              <w:rPr>
                <w:color w:val="000000"/>
                <w:sz w:val="16"/>
              </w:rPr>
              <w:t>6000–9000 steps/day</w:t>
            </w:r>
          </w:p>
        </w:tc>
        <w:tc>
          <w:tcPr>
            <w:tcW w:w="548" w:type="pct"/>
            <w:hideMark/>
          </w:tcPr>
          <w:p w14:paraId="12FAEE04" w14:textId="77777777" w:rsidR="007B031E" w:rsidRPr="003F7C15" w:rsidRDefault="007B031E" w:rsidP="003F7C15">
            <w:pPr>
              <w:pStyle w:val="Body"/>
              <w:spacing w:after="0" w:line="240" w:lineRule="auto"/>
              <w:jc w:val="left"/>
              <w:rPr>
                <w:color w:val="000000"/>
                <w:sz w:val="16"/>
              </w:rPr>
            </w:pPr>
            <w:r w:rsidRPr="003F7C15">
              <w:rPr>
                <w:color w:val="000000"/>
                <w:sz w:val="16"/>
              </w:rPr>
              <w:t>5</w:t>
            </w:r>
          </w:p>
        </w:tc>
        <w:tc>
          <w:tcPr>
            <w:tcW w:w="696" w:type="pct"/>
            <w:hideMark/>
          </w:tcPr>
          <w:p w14:paraId="3F89BF08" w14:textId="77777777" w:rsidR="007B031E" w:rsidRPr="003F7C15" w:rsidRDefault="007B031E" w:rsidP="003F7C15">
            <w:pPr>
              <w:pStyle w:val="Body"/>
              <w:spacing w:after="0" w:line="240" w:lineRule="auto"/>
              <w:jc w:val="left"/>
              <w:rPr>
                <w:color w:val="000000"/>
                <w:sz w:val="16"/>
              </w:rPr>
            </w:pPr>
            <w:r w:rsidRPr="003F7C15">
              <w:rPr>
                <w:color w:val="000000"/>
                <w:sz w:val="16"/>
              </w:rPr>
              <w:t>5.0</w:t>
            </w:r>
          </w:p>
        </w:tc>
      </w:tr>
      <w:tr w:rsidR="007B031E" w:rsidRPr="003F7C15" w14:paraId="3C176975" w14:textId="77777777" w:rsidTr="003F7C15">
        <w:tc>
          <w:tcPr>
            <w:tcW w:w="1696" w:type="pct"/>
            <w:hideMark/>
          </w:tcPr>
          <w:p w14:paraId="1D2CCD6E" w14:textId="77777777" w:rsidR="007B031E" w:rsidRPr="003F7C15" w:rsidRDefault="007B031E" w:rsidP="003F7C15">
            <w:pPr>
              <w:pStyle w:val="Body"/>
              <w:spacing w:after="0" w:line="240" w:lineRule="auto"/>
              <w:jc w:val="left"/>
              <w:rPr>
                <w:b/>
                <w:color w:val="000000"/>
                <w:sz w:val="16"/>
              </w:rPr>
            </w:pPr>
          </w:p>
        </w:tc>
        <w:tc>
          <w:tcPr>
            <w:tcW w:w="2061" w:type="pct"/>
            <w:hideMark/>
          </w:tcPr>
          <w:p w14:paraId="5AD1AFB4" w14:textId="77777777" w:rsidR="007B031E" w:rsidRPr="003F7C15" w:rsidRDefault="007B031E" w:rsidP="003F7C15">
            <w:pPr>
              <w:pStyle w:val="Body"/>
              <w:spacing w:after="0" w:line="240" w:lineRule="auto"/>
              <w:jc w:val="left"/>
              <w:rPr>
                <w:color w:val="000000"/>
                <w:sz w:val="16"/>
              </w:rPr>
            </w:pPr>
            <w:r w:rsidRPr="003F7C15">
              <w:rPr>
                <w:color w:val="000000"/>
                <w:sz w:val="16"/>
              </w:rPr>
              <w:t>&gt;9000 steps/day</w:t>
            </w:r>
          </w:p>
        </w:tc>
        <w:tc>
          <w:tcPr>
            <w:tcW w:w="548" w:type="pct"/>
            <w:hideMark/>
          </w:tcPr>
          <w:p w14:paraId="394E75D1" w14:textId="77777777" w:rsidR="007B031E" w:rsidRPr="003F7C15" w:rsidRDefault="007B031E" w:rsidP="003F7C15">
            <w:pPr>
              <w:pStyle w:val="Body"/>
              <w:spacing w:after="0" w:line="240" w:lineRule="auto"/>
              <w:jc w:val="left"/>
              <w:rPr>
                <w:color w:val="000000"/>
                <w:sz w:val="16"/>
              </w:rPr>
            </w:pPr>
            <w:r w:rsidRPr="003F7C15">
              <w:rPr>
                <w:color w:val="000000"/>
                <w:sz w:val="16"/>
              </w:rPr>
              <w:t>3</w:t>
            </w:r>
          </w:p>
        </w:tc>
        <w:tc>
          <w:tcPr>
            <w:tcW w:w="696" w:type="pct"/>
            <w:hideMark/>
          </w:tcPr>
          <w:p w14:paraId="120A9C35" w14:textId="77777777" w:rsidR="007B031E" w:rsidRPr="003F7C15" w:rsidRDefault="007B031E" w:rsidP="003F7C15">
            <w:pPr>
              <w:pStyle w:val="Body"/>
              <w:spacing w:after="0" w:line="240" w:lineRule="auto"/>
              <w:jc w:val="left"/>
              <w:rPr>
                <w:color w:val="000000"/>
                <w:sz w:val="16"/>
              </w:rPr>
            </w:pPr>
            <w:r w:rsidRPr="003F7C15">
              <w:rPr>
                <w:color w:val="000000"/>
                <w:sz w:val="16"/>
              </w:rPr>
              <w:t>3.0</w:t>
            </w:r>
          </w:p>
        </w:tc>
      </w:tr>
      <w:tr w:rsidR="007B031E" w:rsidRPr="003F7C15" w14:paraId="4C274540" w14:textId="77777777" w:rsidTr="003F7C15">
        <w:tc>
          <w:tcPr>
            <w:tcW w:w="1696" w:type="pct"/>
            <w:tcBorders>
              <w:bottom w:val="single" w:sz="4" w:space="0" w:color="000000"/>
            </w:tcBorders>
            <w:hideMark/>
          </w:tcPr>
          <w:p w14:paraId="69357CED" w14:textId="77777777" w:rsidR="007B031E" w:rsidRPr="003F7C15" w:rsidRDefault="007B031E" w:rsidP="003F7C15">
            <w:pPr>
              <w:pStyle w:val="Body"/>
              <w:spacing w:after="0" w:line="240" w:lineRule="auto"/>
              <w:jc w:val="left"/>
              <w:rPr>
                <w:b/>
                <w:color w:val="000000"/>
                <w:sz w:val="16"/>
              </w:rPr>
            </w:pPr>
            <w:r w:rsidRPr="003F7C15">
              <w:rPr>
                <w:b/>
                <w:color w:val="000000"/>
                <w:sz w:val="16"/>
              </w:rPr>
              <w:t>Total</w:t>
            </w:r>
          </w:p>
        </w:tc>
        <w:tc>
          <w:tcPr>
            <w:tcW w:w="2061" w:type="pct"/>
            <w:tcBorders>
              <w:bottom w:val="single" w:sz="4" w:space="0" w:color="000000"/>
            </w:tcBorders>
            <w:hideMark/>
          </w:tcPr>
          <w:p w14:paraId="44067E9E" w14:textId="77777777" w:rsidR="007B031E" w:rsidRPr="003F7C15" w:rsidRDefault="007B031E" w:rsidP="003F7C15">
            <w:pPr>
              <w:pStyle w:val="Body"/>
              <w:spacing w:after="0" w:line="240" w:lineRule="auto"/>
              <w:jc w:val="left"/>
              <w:rPr>
                <w:color w:val="000000"/>
                <w:sz w:val="16"/>
              </w:rPr>
            </w:pPr>
            <w:r w:rsidRPr="003F7C15">
              <w:rPr>
                <w:color w:val="000000"/>
                <w:sz w:val="16"/>
              </w:rPr>
              <w:t>—</w:t>
            </w:r>
          </w:p>
        </w:tc>
        <w:tc>
          <w:tcPr>
            <w:tcW w:w="548" w:type="pct"/>
            <w:tcBorders>
              <w:bottom w:val="single" w:sz="4" w:space="0" w:color="000000"/>
            </w:tcBorders>
            <w:hideMark/>
          </w:tcPr>
          <w:p w14:paraId="48344A2A" w14:textId="77777777" w:rsidR="007B031E" w:rsidRPr="003F7C15" w:rsidRDefault="007B031E" w:rsidP="003F7C15">
            <w:pPr>
              <w:pStyle w:val="Body"/>
              <w:spacing w:after="0" w:line="240" w:lineRule="auto"/>
              <w:jc w:val="left"/>
              <w:rPr>
                <w:color w:val="000000"/>
                <w:sz w:val="16"/>
              </w:rPr>
            </w:pPr>
            <w:r w:rsidRPr="003F7C15">
              <w:rPr>
                <w:color w:val="000000"/>
                <w:sz w:val="16"/>
              </w:rPr>
              <w:t>100</w:t>
            </w:r>
          </w:p>
        </w:tc>
        <w:tc>
          <w:tcPr>
            <w:tcW w:w="696" w:type="pct"/>
            <w:tcBorders>
              <w:bottom w:val="single" w:sz="4" w:space="0" w:color="000000"/>
            </w:tcBorders>
            <w:hideMark/>
          </w:tcPr>
          <w:p w14:paraId="190E1423" w14:textId="77777777" w:rsidR="007B031E" w:rsidRPr="003F7C15" w:rsidRDefault="007B031E" w:rsidP="003F7C15">
            <w:pPr>
              <w:pStyle w:val="Body"/>
              <w:spacing w:after="0" w:line="240" w:lineRule="auto"/>
              <w:jc w:val="left"/>
              <w:rPr>
                <w:color w:val="000000"/>
                <w:sz w:val="16"/>
              </w:rPr>
            </w:pPr>
            <w:r w:rsidRPr="003F7C15">
              <w:rPr>
                <w:color w:val="000000"/>
                <w:sz w:val="16"/>
              </w:rPr>
              <w:t>100.0</w:t>
            </w:r>
          </w:p>
        </w:tc>
      </w:tr>
    </w:tbl>
    <w:p w14:paraId="19988D7B" w14:textId="77777777" w:rsidR="007B031E" w:rsidRPr="007B031E" w:rsidRDefault="007B031E" w:rsidP="007B031E">
      <w:pPr>
        <w:pStyle w:val="Body"/>
      </w:pPr>
      <w:r w:rsidRPr="007B031E">
        <w:t xml:space="preserve">Correlation analysis demonstrated a statistically significant negative association between daily step count and fear of falling. The correlation coefficient was </w:t>
      </w:r>
      <w:r w:rsidRPr="007B031E">
        <w:rPr>
          <w:rFonts w:ascii="Cambria Math" w:hAnsi="Cambria Math" w:cs="Cambria Math"/>
        </w:rPr>
        <w:t>−</w:t>
      </w:r>
      <w:r w:rsidRPr="007B031E">
        <w:t>0.267, indicating that participants with lower daily step counts tended to report greater fear of falling. The coefficient of determination was 0.071, showing that daily step count accounted for approximately 7.1% of the variation in fear-of-falling scores. The association was statistically significant with a p-value of 0.007, supporting an inverse relationship between ambulatory activity and fear of falling.</w:t>
      </w:r>
    </w:p>
    <w:p w14:paraId="0C786A60" w14:textId="77777777" w:rsidR="007B031E" w:rsidRPr="007B031E" w:rsidRDefault="007B031E" w:rsidP="003F7C15">
      <w:pPr>
        <w:pStyle w:val="Caption"/>
      </w:pPr>
      <w:r w:rsidRPr="007B031E">
        <w:t>Table 3. Association Between Daily Step Count and Fear of Falling</w:t>
      </w:r>
    </w:p>
    <w:tbl>
      <w:tblPr>
        <w:tblStyle w:val="TableGridLight"/>
        <w:tblW w:w="5000" w:type="pct"/>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315"/>
        <w:gridCol w:w="1345"/>
        <w:gridCol w:w="529"/>
        <w:gridCol w:w="1390"/>
        <w:gridCol w:w="841"/>
        <w:gridCol w:w="673"/>
        <w:gridCol w:w="719"/>
        <w:gridCol w:w="1175"/>
        <w:gridCol w:w="1040"/>
      </w:tblGrid>
      <w:tr w:rsidR="007B031E" w:rsidRPr="003F7C15" w14:paraId="577A9D51" w14:textId="77777777" w:rsidTr="003F7C15">
        <w:tc>
          <w:tcPr>
            <w:tcW w:w="728" w:type="pct"/>
            <w:hideMark/>
          </w:tcPr>
          <w:p w14:paraId="02958B51" w14:textId="77777777" w:rsidR="007B031E" w:rsidRPr="003F7C15" w:rsidRDefault="007B031E" w:rsidP="003F7C15">
            <w:pPr>
              <w:pStyle w:val="Body"/>
              <w:spacing w:after="0" w:line="240" w:lineRule="auto"/>
              <w:jc w:val="left"/>
              <w:rPr>
                <w:b/>
                <w:color w:val="000000"/>
                <w:sz w:val="16"/>
              </w:rPr>
            </w:pPr>
            <w:r w:rsidRPr="003F7C15">
              <w:rPr>
                <w:b/>
                <w:color w:val="000000"/>
                <w:sz w:val="16"/>
              </w:rPr>
              <w:t>Variable Pair</w:t>
            </w:r>
          </w:p>
        </w:tc>
        <w:tc>
          <w:tcPr>
            <w:tcW w:w="745" w:type="pct"/>
            <w:hideMark/>
          </w:tcPr>
          <w:p w14:paraId="3E0E5CDF" w14:textId="77777777" w:rsidR="007B031E" w:rsidRPr="003F7C15" w:rsidRDefault="007B031E" w:rsidP="003F7C15">
            <w:pPr>
              <w:pStyle w:val="Body"/>
              <w:spacing w:after="0" w:line="240" w:lineRule="auto"/>
              <w:jc w:val="left"/>
              <w:rPr>
                <w:b/>
                <w:color w:val="000000"/>
                <w:sz w:val="16"/>
              </w:rPr>
            </w:pPr>
            <w:r w:rsidRPr="003F7C15">
              <w:rPr>
                <w:b/>
                <w:color w:val="000000"/>
                <w:sz w:val="16"/>
              </w:rPr>
              <w:t>Statistical Test</w:t>
            </w:r>
          </w:p>
        </w:tc>
        <w:tc>
          <w:tcPr>
            <w:tcW w:w="293" w:type="pct"/>
            <w:hideMark/>
          </w:tcPr>
          <w:p w14:paraId="480DA491" w14:textId="77777777" w:rsidR="007B031E" w:rsidRPr="003F7C15" w:rsidRDefault="007B031E" w:rsidP="003F7C15">
            <w:pPr>
              <w:pStyle w:val="Body"/>
              <w:spacing w:after="0" w:line="240" w:lineRule="auto"/>
              <w:jc w:val="left"/>
              <w:rPr>
                <w:b/>
                <w:color w:val="000000"/>
                <w:sz w:val="16"/>
              </w:rPr>
            </w:pPr>
            <w:r w:rsidRPr="003F7C15">
              <w:rPr>
                <w:b/>
                <w:color w:val="000000"/>
                <w:sz w:val="16"/>
              </w:rPr>
              <w:t>n</w:t>
            </w:r>
          </w:p>
        </w:tc>
        <w:tc>
          <w:tcPr>
            <w:tcW w:w="770" w:type="pct"/>
            <w:hideMark/>
          </w:tcPr>
          <w:p w14:paraId="4E6F1914" w14:textId="77777777" w:rsidR="007B031E" w:rsidRPr="003F7C15" w:rsidRDefault="007B031E" w:rsidP="003F7C15">
            <w:pPr>
              <w:pStyle w:val="Body"/>
              <w:spacing w:after="0" w:line="240" w:lineRule="auto"/>
              <w:jc w:val="left"/>
              <w:rPr>
                <w:b/>
                <w:color w:val="000000"/>
                <w:sz w:val="16"/>
              </w:rPr>
            </w:pPr>
            <w:r w:rsidRPr="003F7C15">
              <w:rPr>
                <w:b/>
                <w:color w:val="000000"/>
                <w:sz w:val="16"/>
              </w:rPr>
              <w:t>Correlation Coefficient</w:t>
            </w:r>
          </w:p>
        </w:tc>
        <w:tc>
          <w:tcPr>
            <w:tcW w:w="466" w:type="pct"/>
            <w:hideMark/>
          </w:tcPr>
          <w:p w14:paraId="1721FC45" w14:textId="77777777" w:rsidR="007B031E" w:rsidRPr="003F7C15" w:rsidRDefault="007B031E" w:rsidP="003F7C15">
            <w:pPr>
              <w:pStyle w:val="Body"/>
              <w:spacing w:after="0" w:line="240" w:lineRule="auto"/>
              <w:jc w:val="left"/>
              <w:rPr>
                <w:b/>
                <w:color w:val="000000"/>
                <w:sz w:val="16"/>
              </w:rPr>
            </w:pPr>
            <w:r w:rsidRPr="003F7C15">
              <w:rPr>
                <w:b/>
                <w:color w:val="000000"/>
                <w:sz w:val="16"/>
              </w:rPr>
              <w:t>95% CI</w:t>
            </w:r>
          </w:p>
        </w:tc>
        <w:tc>
          <w:tcPr>
            <w:tcW w:w="373" w:type="pct"/>
            <w:hideMark/>
          </w:tcPr>
          <w:p w14:paraId="0DD79B0B" w14:textId="77777777" w:rsidR="007B031E" w:rsidRPr="003F7C15" w:rsidRDefault="007B031E" w:rsidP="003F7C15">
            <w:pPr>
              <w:pStyle w:val="Body"/>
              <w:spacing w:after="0" w:line="240" w:lineRule="auto"/>
              <w:jc w:val="left"/>
              <w:rPr>
                <w:b/>
                <w:color w:val="000000"/>
                <w:sz w:val="16"/>
              </w:rPr>
            </w:pPr>
            <w:r w:rsidRPr="003F7C15">
              <w:rPr>
                <w:b/>
                <w:color w:val="000000"/>
                <w:sz w:val="16"/>
              </w:rPr>
              <w:t>r²</w:t>
            </w:r>
          </w:p>
        </w:tc>
        <w:tc>
          <w:tcPr>
            <w:tcW w:w="398" w:type="pct"/>
            <w:hideMark/>
          </w:tcPr>
          <w:p w14:paraId="23639C69" w14:textId="77777777" w:rsidR="007B031E" w:rsidRPr="003F7C15" w:rsidRDefault="007B031E" w:rsidP="003F7C15">
            <w:pPr>
              <w:pStyle w:val="Body"/>
              <w:spacing w:after="0" w:line="240" w:lineRule="auto"/>
              <w:jc w:val="left"/>
              <w:rPr>
                <w:b/>
                <w:color w:val="000000"/>
                <w:sz w:val="16"/>
              </w:rPr>
            </w:pPr>
            <w:r w:rsidRPr="003F7C15">
              <w:rPr>
                <w:b/>
                <w:color w:val="000000"/>
                <w:sz w:val="16"/>
              </w:rPr>
              <w:t>p-value</w:t>
            </w:r>
          </w:p>
        </w:tc>
        <w:tc>
          <w:tcPr>
            <w:tcW w:w="651" w:type="pct"/>
            <w:hideMark/>
          </w:tcPr>
          <w:p w14:paraId="3F743073" w14:textId="77777777" w:rsidR="007B031E" w:rsidRPr="003F7C15" w:rsidRDefault="007B031E" w:rsidP="003F7C15">
            <w:pPr>
              <w:pStyle w:val="Body"/>
              <w:spacing w:after="0" w:line="240" w:lineRule="auto"/>
              <w:jc w:val="left"/>
              <w:rPr>
                <w:b/>
                <w:color w:val="000000"/>
                <w:sz w:val="16"/>
              </w:rPr>
            </w:pPr>
            <w:r w:rsidRPr="003F7C15">
              <w:rPr>
                <w:b/>
                <w:color w:val="000000"/>
                <w:sz w:val="16"/>
              </w:rPr>
              <w:t>Strength</w:t>
            </w:r>
          </w:p>
        </w:tc>
        <w:tc>
          <w:tcPr>
            <w:tcW w:w="576" w:type="pct"/>
            <w:hideMark/>
          </w:tcPr>
          <w:p w14:paraId="6773907B" w14:textId="77777777" w:rsidR="007B031E" w:rsidRPr="003F7C15" w:rsidRDefault="007B031E" w:rsidP="003F7C15">
            <w:pPr>
              <w:pStyle w:val="Body"/>
              <w:spacing w:after="0" w:line="240" w:lineRule="auto"/>
              <w:jc w:val="left"/>
              <w:rPr>
                <w:b/>
                <w:color w:val="000000"/>
                <w:sz w:val="16"/>
              </w:rPr>
            </w:pPr>
            <w:r w:rsidRPr="003F7C15">
              <w:rPr>
                <w:b/>
                <w:color w:val="000000"/>
                <w:sz w:val="16"/>
              </w:rPr>
              <w:t>Direction</w:t>
            </w:r>
          </w:p>
        </w:tc>
      </w:tr>
      <w:tr w:rsidR="007B031E" w:rsidRPr="003F7C15" w14:paraId="15BB8879" w14:textId="77777777" w:rsidTr="003F7C15">
        <w:tc>
          <w:tcPr>
            <w:tcW w:w="728" w:type="pct"/>
            <w:hideMark/>
          </w:tcPr>
          <w:p w14:paraId="15F21614" w14:textId="77777777" w:rsidR="007B031E" w:rsidRPr="003F7C15" w:rsidRDefault="007B031E" w:rsidP="003F7C15">
            <w:pPr>
              <w:pStyle w:val="Body"/>
              <w:spacing w:after="0" w:line="240" w:lineRule="auto"/>
              <w:jc w:val="left"/>
              <w:rPr>
                <w:b/>
                <w:color w:val="000000"/>
                <w:sz w:val="16"/>
              </w:rPr>
            </w:pPr>
            <w:r w:rsidRPr="003F7C15">
              <w:rPr>
                <w:b/>
                <w:color w:val="000000"/>
                <w:sz w:val="16"/>
              </w:rPr>
              <w:t>Daily step count and fear of falling</w:t>
            </w:r>
          </w:p>
        </w:tc>
        <w:tc>
          <w:tcPr>
            <w:tcW w:w="745" w:type="pct"/>
            <w:hideMark/>
          </w:tcPr>
          <w:p w14:paraId="0345B517" w14:textId="77777777" w:rsidR="007B031E" w:rsidRPr="003F7C15" w:rsidRDefault="007B031E" w:rsidP="003F7C15">
            <w:pPr>
              <w:pStyle w:val="Body"/>
              <w:spacing w:after="0" w:line="240" w:lineRule="auto"/>
              <w:jc w:val="left"/>
              <w:rPr>
                <w:color w:val="000000"/>
                <w:sz w:val="16"/>
              </w:rPr>
            </w:pPr>
            <w:r w:rsidRPr="003F7C15">
              <w:rPr>
                <w:color w:val="000000"/>
                <w:sz w:val="16"/>
              </w:rPr>
              <w:t>Correlation analysis</w:t>
            </w:r>
          </w:p>
        </w:tc>
        <w:tc>
          <w:tcPr>
            <w:tcW w:w="293" w:type="pct"/>
            <w:hideMark/>
          </w:tcPr>
          <w:p w14:paraId="2440F332" w14:textId="77777777" w:rsidR="007B031E" w:rsidRPr="003F7C15" w:rsidRDefault="007B031E" w:rsidP="003F7C15">
            <w:pPr>
              <w:pStyle w:val="Body"/>
              <w:spacing w:after="0" w:line="240" w:lineRule="auto"/>
              <w:jc w:val="left"/>
              <w:rPr>
                <w:color w:val="000000"/>
                <w:sz w:val="16"/>
              </w:rPr>
            </w:pPr>
            <w:r w:rsidRPr="003F7C15">
              <w:rPr>
                <w:color w:val="000000"/>
                <w:sz w:val="16"/>
              </w:rPr>
              <w:t>100</w:t>
            </w:r>
          </w:p>
        </w:tc>
        <w:tc>
          <w:tcPr>
            <w:tcW w:w="770" w:type="pct"/>
            <w:hideMark/>
          </w:tcPr>
          <w:p w14:paraId="6ABE95B6" w14:textId="77777777" w:rsidR="007B031E" w:rsidRPr="003F7C15" w:rsidRDefault="007B031E" w:rsidP="003F7C15">
            <w:pPr>
              <w:pStyle w:val="Body"/>
              <w:spacing w:after="0" w:line="240" w:lineRule="auto"/>
              <w:jc w:val="left"/>
              <w:rPr>
                <w:color w:val="000000"/>
                <w:sz w:val="16"/>
              </w:rPr>
            </w:pPr>
            <w:r w:rsidRPr="003F7C15">
              <w:rPr>
                <w:rFonts w:cs="Cambria Math"/>
                <w:color w:val="000000"/>
                <w:sz w:val="16"/>
              </w:rPr>
              <w:t>−</w:t>
            </w:r>
            <w:r w:rsidRPr="003F7C15">
              <w:rPr>
                <w:color w:val="000000"/>
                <w:sz w:val="16"/>
              </w:rPr>
              <w:t>0.267</w:t>
            </w:r>
          </w:p>
        </w:tc>
        <w:tc>
          <w:tcPr>
            <w:tcW w:w="466" w:type="pct"/>
            <w:hideMark/>
          </w:tcPr>
          <w:p w14:paraId="2C826213" w14:textId="77777777" w:rsidR="007B031E" w:rsidRPr="003F7C15" w:rsidRDefault="007B031E" w:rsidP="003F7C15">
            <w:pPr>
              <w:pStyle w:val="Body"/>
              <w:spacing w:after="0" w:line="240" w:lineRule="auto"/>
              <w:jc w:val="left"/>
              <w:rPr>
                <w:color w:val="000000"/>
                <w:sz w:val="16"/>
              </w:rPr>
            </w:pPr>
            <w:r w:rsidRPr="003F7C15">
              <w:rPr>
                <w:rFonts w:cs="Cambria Math"/>
                <w:color w:val="000000"/>
                <w:sz w:val="16"/>
              </w:rPr>
              <w:t>−</w:t>
            </w:r>
            <w:r w:rsidRPr="003F7C15">
              <w:rPr>
                <w:color w:val="000000"/>
                <w:sz w:val="16"/>
              </w:rPr>
              <w:t xml:space="preserve">0.44 to </w:t>
            </w:r>
            <w:r w:rsidRPr="003F7C15">
              <w:rPr>
                <w:rFonts w:cs="Cambria Math"/>
                <w:color w:val="000000"/>
                <w:sz w:val="16"/>
              </w:rPr>
              <w:t>−</w:t>
            </w:r>
            <w:r w:rsidRPr="003F7C15">
              <w:rPr>
                <w:color w:val="000000"/>
                <w:sz w:val="16"/>
              </w:rPr>
              <w:t>0.07</w:t>
            </w:r>
          </w:p>
        </w:tc>
        <w:tc>
          <w:tcPr>
            <w:tcW w:w="373" w:type="pct"/>
            <w:hideMark/>
          </w:tcPr>
          <w:p w14:paraId="20F94F84" w14:textId="77777777" w:rsidR="007B031E" w:rsidRPr="003F7C15" w:rsidRDefault="007B031E" w:rsidP="003F7C15">
            <w:pPr>
              <w:pStyle w:val="Body"/>
              <w:spacing w:after="0" w:line="240" w:lineRule="auto"/>
              <w:jc w:val="left"/>
              <w:rPr>
                <w:color w:val="000000"/>
                <w:sz w:val="16"/>
              </w:rPr>
            </w:pPr>
            <w:r w:rsidRPr="003F7C15">
              <w:rPr>
                <w:color w:val="000000"/>
                <w:sz w:val="16"/>
              </w:rPr>
              <w:t>0.071</w:t>
            </w:r>
          </w:p>
        </w:tc>
        <w:tc>
          <w:tcPr>
            <w:tcW w:w="398" w:type="pct"/>
            <w:hideMark/>
          </w:tcPr>
          <w:p w14:paraId="176C41EA" w14:textId="77777777" w:rsidR="007B031E" w:rsidRPr="003F7C15" w:rsidRDefault="007B031E" w:rsidP="003F7C15">
            <w:pPr>
              <w:pStyle w:val="Body"/>
              <w:spacing w:after="0" w:line="240" w:lineRule="auto"/>
              <w:jc w:val="left"/>
              <w:rPr>
                <w:color w:val="000000"/>
                <w:sz w:val="16"/>
              </w:rPr>
            </w:pPr>
            <w:r w:rsidRPr="003F7C15">
              <w:rPr>
                <w:color w:val="000000"/>
                <w:sz w:val="16"/>
              </w:rPr>
              <w:t>0.007</w:t>
            </w:r>
          </w:p>
        </w:tc>
        <w:tc>
          <w:tcPr>
            <w:tcW w:w="651" w:type="pct"/>
            <w:hideMark/>
          </w:tcPr>
          <w:p w14:paraId="2F296202" w14:textId="77777777" w:rsidR="007B031E" w:rsidRPr="003F7C15" w:rsidRDefault="007B031E" w:rsidP="003F7C15">
            <w:pPr>
              <w:pStyle w:val="Body"/>
              <w:spacing w:after="0" w:line="240" w:lineRule="auto"/>
              <w:jc w:val="left"/>
              <w:rPr>
                <w:color w:val="000000"/>
                <w:sz w:val="16"/>
              </w:rPr>
            </w:pPr>
            <w:r w:rsidRPr="003F7C15">
              <w:rPr>
                <w:color w:val="000000"/>
                <w:sz w:val="16"/>
              </w:rPr>
              <w:t>Small to moderate</w:t>
            </w:r>
          </w:p>
        </w:tc>
        <w:tc>
          <w:tcPr>
            <w:tcW w:w="576" w:type="pct"/>
            <w:hideMark/>
          </w:tcPr>
          <w:p w14:paraId="61A1C2D0" w14:textId="77777777" w:rsidR="007B031E" w:rsidRPr="003F7C15" w:rsidRDefault="007B031E" w:rsidP="003F7C15">
            <w:pPr>
              <w:pStyle w:val="Body"/>
              <w:spacing w:after="0" w:line="240" w:lineRule="auto"/>
              <w:jc w:val="left"/>
              <w:rPr>
                <w:color w:val="000000"/>
                <w:sz w:val="16"/>
              </w:rPr>
            </w:pPr>
            <w:r w:rsidRPr="003F7C15">
              <w:rPr>
                <w:color w:val="000000"/>
                <w:sz w:val="16"/>
              </w:rPr>
              <w:t>Negative</w:t>
            </w:r>
          </w:p>
        </w:tc>
      </w:tr>
    </w:tbl>
    <w:p w14:paraId="566F3471" w14:textId="77777777" w:rsidR="007B031E" w:rsidRPr="007B031E" w:rsidRDefault="007B031E" w:rsidP="007B031E">
      <w:pPr>
        <w:pStyle w:val="Body"/>
      </w:pPr>
      <w:r w:rsidRPr="007B031E">
        <w:t>Participants reported greater fear during activities that commonly require postural control, environmental negotiation, and confidence in mobility, including walking outdoors, climbing stairs, bathing, moving over uneven surfaces, and walking in crowded places. The concentration of participants in the lowest step-count category, combined with the statistically significant inverse correlation, indicates that reduced ambulatory activity was accompanied by higher fear-related concern during daily activities. Although the association was not large in magnitude, the pattern is clinically meaningful because 67.0% of participants were clustered below 3000 steps/day and 92.0% remained below 6000 steps/day, suggesting that restricted daily mobility was common among older adults with type 2 diabetes mellitus in this sample.</w:t>
      </w:r>
    </w:p>
    <w:p w14:paraId="033BAC85" w14:textId="06D596A9" w:rsidR="007B031E" w:rsidRPr="007B031E" w:rsidRDefault="003F7C15" w:rsidP="00120C3B">
      <w:pPr>
        <w:pStyle w:val="Body"/>
        <w:jc w:val="center"/>
      </w:pPr>
      <w:r>
        <w:rPr>
          <w:noProof/>
        </w:rPr>
        <w:drawing>
          <wp:inline distT="0" distB="0" distL="0" distR="0" wp14:anchorId="316539AF" wp14:editId="2CCB070D">
            <wp:extent cx="4113976" cy="2450828"/>
            <wp:effectExtent l="0" t="0" r="1270" b="6985"/>
            <wp:docPr id="106741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20"/>
                    <a:stretch>
                      <a:fillRect/>
                    </a:stretch>
                  </pic:blipFill>
                  <pic:spPr bwMode="auto">
                    <a:xfrm>
                      <a:off x="0" y="0"/>
                      <a:ext cx="4114800" cy="2451319"/>
                    </a:xfrm>
                    <a:prstGeom prst="rect">
                      <a:avLst/>
                    </a:prstGeom>
                    <a:noFill/>
                    <a:ln>
                      <a:noFill/>
                    </a:ln>
                    <a:extLst>
                      <a:ext uri="{53640926-AAD7-44D8-BBD7-CCE9431645EC}">
                        <a14:shadowObscured xmlns:a14="http://schemas.microsoft.com/office/drawing/2010/main"/>
                      </a:ext>
                    </a:extLst>
                  </pic:spPr>
                </pic:pic>
              </a:graphicData>
            </a:graphic>
          </wp:inline>
        </w:drawing>
      </w:r>
    </w:p>
    <w:p w14:paraId="23561926" w14:textId="66C90A3D" w:rsidR="007B031E" w:rsidRPr="007B031E" w:rsidRDefault="007B031E" w:rsidP="00120C3B">
      <w:pPr>
        <w:pStyle w:val="Caption"/>
        <w:jc w:val="center"/>
      </w:pPr>
      <w:r w:rsidRPr="007B031E">
        <w:t xml:space="preserve">Figure 1. Concentration of Low Ambulatory Activity Among Older Adults </w:t>
      </w:r>
      <w:r w:rsidR="00120C3B" w:rsidRPr="007B031E">
        <w:t>with</w:t>
      </w:r>
      <w:r w:rsidRPr="007B031E">
        <w:t xml:space="preserve"> Type 2 Diabetes</w:t>
      </w:r>
    </w:p>
    <w:p w14:paraId="24D8420B" w14:textId="3E726993" w:rsidR="007B031E" w:rsidRPr="007B031E" w:rsidRDefault="007B031E" w:rsidP="003F7C15">
      <w:pPr>
        <w:pStyle w:val="Body"/>
      </w:pPr>
      <w:r w:rsidRPr="007B031E">
        <w:t xml:space="preserve">The figure demonstrates a markedly asymmetric distribution of ambulatory activity, with 67.0% of participants clustered below 3000 steps/day and an additional 25.0% falling within the 3000–6000 steps/day category. Cumulatively, 92.0% of the sample remained below 6000 steps/day, while only 8.0% </w:t>
      </w:r>
      <w:r w:rsidRPr="007B031E">
        <w:lastRenderedPageBreak/>
        <w:t>achieved more than 6000 steps/day, including 5.0% in the 6000–9000 range and 3.0% above 9000 steps/day. This steep cumulative concentration in the lowest activity strata indicates a substantial low-mobility burden among older adults with type 2 diabetes mellitus and supports the clinical relevance of the observed inverse association between daily step count and fear of falling, where reduced walking volume corresponded with greater fall-related concern.</w:t>
      </w:r>
    </w:p>
    <w:p w14:paraId="176A744B" w14:textId="77777777" w:rsidR="007B031E" w:rsidRPr="007B031E" w:rsidRDefault="007B031E" w:rsidP="003F7C15">
      <w:pPr>
        <w:pStyle w:val="Heading1"/>
      </w:pPr>
      <w:r w:rsidRPr="007B031E">
        <w:t>Discussion</w:t>
      </w:r>
    </w:p>
    <w:p w14:paraId="69FC21FB" w14:textId="77777777" w:rsidR="007B031E" w:rsidRPr="007B031E" w:rsidRDefault="007B031E" w:rsidP="007B031E">
      <w:pPr>
        <w:pStyle w:val="Body"/>
      </w:pPr>
      <w:r w:rsidRPr="007B031E">
        <w:t>The present study demonstrated a statistically significant inverse relationship between daily step count and fear of falling among older adults with type 2 diabetes mellitus. Participants with lower daily step counts reported greater concern about falling during daily activities, supporting the hypothesis that reduced ambulatory activity is associated with higher fear-related mobility limitation. The observed correlation coefficient was small to moderate in magnitude, indicating that daily step count explained a modest but clinically relevant proportion of variation in fear-of-falling scores. This finding is meaningful because most participants demonstrated substantially restricted walking activity, with 67.0% accumulating fewer than 3000 steps/day and 92.0% remaining below 6000 steps/day. In an older diabetic population, such low ambulatory activity may reflect reduced balance confidence, diabetes-related sensory impairment, physical deconditioning, or avoidance of activities perceived as unsafe.</w:t>
      </w:r>
    </w:p>
    <w:p w14:paraId="08B097FE" w14:textId="77777777" w:rsidR="007B031E" w:rsidRPr="007B031E" w:rsidRDefault="007B031E" w:rsidP="007B031E">
      <w:pPr>
        <w:pStyle w:val="Body"/>
      </w:pPr>
      <w:r w:rsidRPr="007B031E">
        <w:t>The inverse association observed in this study is consistent with previous evidence showing that fear of falling is linked with reduced physical activity among older adults. Hornyak et al. reported that fear of falling was related to physical function and showed a weaker but observable relationship with daily physical activity in community-dwelling older adults, suggesting that fear-related mobility restriction is closely connected to functional capacity rather than activity volume alone (10). Similarly, a study found that falls and fear of falling were important barriers to walking and moderate-to-vigorous physical activity among community-dwelling older men, reinforcing the concept that psychological concern about falling can limit participation in health-promoting movement (11). The present findings extend this evidence to older adults with type 2 diabetes mellitus, a group in whom reduced mobility may be compounded by neuropathy, visual impairment, muscle weakness, and impaired postural control.</w:t>
      </w:r>
    </w:p>
    <w:p w14:paraId="79C39DC6" w14:textId="77777777" w:rsidR="007B031E" w:rsidRPr="007B031E" w:rsidRDefault="007B031E" w:rsidP="007B031E">
      <w:pPr>
        <w:pStyle w:val="Body"/>
      </w:pPr>
      <w:r w:rsidRPr="007B031E">
        <w:t>The high proportion of participants with very low step counts suggests that reduced physical activity was not limited to a small subgroup but represented a dominant pattern across the sample. Walking is one of the most accessible forms of physical activity for older adults, and daily step count provides a practical marker of real-world mobility. Evidence from older adults indicates that higher walking volume and better walking performance are associated with more favorable physical fitness profiles, supporting the role of habitual walking as an indicator of functional health (12,13). In the context of type 2 diabetes mellitus, low step count may be particularly concerning because physical inactivity can worsen metabolic control, reduce cardiovascular endurance, contribute to muscle weakness, and increase dependence in daily living. Therefore, even a small-to-moderate inverse association between step count and fear of falling may have important implications for rehabilitation screening and individualized mobility planning.</w:t>
      </w:r>
    </w:p>
    <w:p w14:paraId="60889F1A" w14:textId="77777777" w:rsidR="007B031E" w:rsidRPr="007B031E" w:rsidRDefault="007B031E" w:rsidP="007B031E">
      <w:pPr>
        <w:pStyle w:val="Body"/>
      </w:pPr>
      <w:r w:rsidRPr="007B031E">
        <w:t xml:space="preserve">The relationship between step count and fear of falling is likely bidirectional rather than strictly causal. Older adults who fear falling may restrict walking, avoid outdoor environments, reduce stair use, and limit participation in social or community activities. This activity avoidance can lead to physical deconditioning, reduced gait confidence, and worsening balance, which may further increase fear of falling. Conversely, individuals with low physical activity may experience declining strength, reduced endurance, and impaired mobility confidence, making daily activities feel more threatening. Longitudinal evidence from older adults with visual impairment has shown that fall-related experiences may influence subsequent physical activity patterns, although fear of falling does not always increase in parallel with activity reduction (14,15). This suggests that the relationship between falls, activity, and </w:t>
      </w:r>
      <w:r w:rsidRPr="007B031E">
        <w:lastRenderedPageBreak/>
        <w:t>fear is complex and may depend on individual clinical characteristics, previous fall history, environmental exposure, and perceived self-efficacy.</w:t>
      </w:r>
    </w:p>
    <w:p w14:paraId="744C911E" w14:textId="77777777" w:rsidR="007B031E" w:rsidRPr="007B031E" w:rsidRDefault="007B031E" w:rsidP="007B031E">
      <w:pPr>
        <w:pStyle w:val="Body"/>
      </w:pPr>
      <w:r w:rsidRPr="007B031E">
        <w:t>Assistive-device use may also have influenced the relationship between walking activity and fear of falling. In this study, 39.0% of participants used walking sticks and 16.0% used walkers, indicating that more than half of the sample required some form of mobility support. Assistive devices can improve stability and allow safer ambulation, but their use may also reflect underlying balance impairment, reduced lower-limb function, or fear-related dependence. Liu et al. demonstrated that gait performance differs when older adults walk with assistive devices under varying environmental demands, such as inclines, highlighting the importance of considering device use when interpreting mobility and fall-related outcomes (16). In the present study, the high prevalence of assistive-device use supports the likelihood that both physical limitation and psychological concern contributed to reduced step accumulation.</w:t>
      </w:r>
    </w:p>
    <w:p w14:paraId="38682296" w14:textId="77777777" w:rsidR="007B031E" w:rsidRPr="007B031E" w:rsidRDefault="007B031E" w:rsidP="007B031E">
      <w:pPr>
        <w:pStyle w:val="Body"/>
      </w:pPr>
      <w:r w:rsidRPr="007B031E">
        <w:t>The findings also support the clinical value of objective step monitoring in older adults with diabetes. Self-reported physical activity can be affected by recall bias and inaccurate perception of activity level, whereas pedometer-based step count provides a direct and easily interpretable measure of ambulatory behavior. Ramsey et al. emphasized that objectively measured physical activity and sedentary behavior are strongly relevant to clinical outcomes in community-dwelling older adults, supporting the use of wearable activity indicators in geriatric health assessment (17). In diabetes care, step monitoring may help identify individuals at risk of mobility decline, activity avoidance, and functional dependence. It may also serve as a simple outcome measure for rehabilitation programs targeting walking confidence, balance, and fall prevention.</w:t>
      </w:r>
    </w:p>
    <w:p w14:paraId="0E03A38B" w14:textId="77777777" w:rsidR="007B031E" w:rsidRPr="007B031E" w:rsidRDefault="007B031E" w:rsidP="007B031E">
      <w:pPr>
        <w:pStyle w:val="Body"/>
      </w:pPr>
      <w:r w:rsidRPr="007B031E">
        <w:t>The association between usability of digital health tools and physical activity adherence in adults with type 2 diabetes further supports the potential role of technology-assisted monitoring in diabetes rehabilitation (18). Although the present study used pedometer-based step counting rather than a behavioral intervention, the findings suggest that wearable activity data may help clinicians identify patients who require structured support to increase safe mobility. Interventions combining progressive walking programs, balance training, lower-limb strengthening, education on fall prevention, and confidence-building strategies may be particularly relevant for older adults with both low step count and elevated fear of falling. Such interventions should be individualized, especially for participants using walking aids or reporting concern during activities such as stair climbing, bathing, walking outdoors, or moving across uneven surfaces.</w:t>
      </w:r>
    </w:p>
    <w:p w14:paraId="3CA5D72D" w14:textId="77777777" w:rsidR="007B031E" w:rsidRPr="007B031E" w:rsidRDefault="007B031E" w:rsidP="007B031E">
      <w:pPr>
        <w:pStyle w:val="Body"/>
      </w:pPr>
      <w:r w:rsidRPr="007B031E">
        <w:t>The clinical interpretation of the correlation should remain cautious. Although the relationship was statistically significant, the coefficient of determination indicated that daily step count explained approximately 7.1% of the variation in fear-of-falling scores. This means that fear of falling is influenced by several additional factors beyond walking volume, including previous falls, balance ability, neuropathy, vision, pain, depression, anxiety, medication burden, home hazards, social support, and environmental barriers. Rossler et al. reported that fear of falling is associated with fall risk, depression, and anxiety in community-dwelling older adults, supporting the need to interpret fear of falling as a multidimensional outcome rather than a direct consequence of physical inactivity alone (19). Therefore, step count should be considered one component of a broader fall-risk and functional assessment.</w:t>
      </w:r>
    </w:p>
    <w:p w14:paraId="413C9E5B" w14:textId="77777777" w:rsidR="007B031E" w:rsidRPr="007B031E" w:rsidRDefault="007B031E" w:rsidP="007B031E">
      <w:pPr>
        <w:pStyle w:val="Body"/>
      </w:pPr>
      <w:r w:rsidRPr="007B031E">
        <w:t xml:space="preserve">Several limitations should be acknowledged. The cross-sectional design prevents determination of temporal sequence or causality between reduced step count and fear of falling. Convenience sampling may limit generalizability to all older adults with type 2 diabetes mellitus. Step count was measured over a short monitoring period, which may not fully represent habitual weekly activity patterns or seasonal variation. The study did not include detailed adjustment for potential confounders such as neuropathy, visual impairment, previous fall history, depression, anxiety, pain, medication use, environmental hazards, or objective balance performance. The sample also had a male predominance, which may influence generalizability because fear of falling and activity restriction can differ by sex. Despite these </w:t>
      </w:r>
      <w:r w:rsidRPr="007B031E">
        <w:lastRenderedPageBreak/>
        <w:t>limitations, the study provides clinically relevant evidence that low real-world walking activity is associated with greater fear of falling in older adults with type 2 diabetes mellitus.</w:t>
      </w:r>
    </w:p>
    <w:p w14:paraId="4D93EE10" w14:textId="77777777" w:rsidR="007B031E" w:rsidRPr="007B031E" w:rsidRDefault="007B031E" w:rsidP="007B031E">
      <w:pPr>
        <w:pStyle w:val="Body"/>
      </w:pPr>
      <w:r w:rsidRPr="007B031E">
        <w:t>Overall, the findings indicate that older adults with type 2 diabetes mellitus who accumulate fewer daily steps are more likely to experience greater fear of falling. The relationship was modest in magnitude but important in clinical context because the majority of participants demonstrated low ambulatory activity. These results support the integration of step-count monitoring with fear-of-falling assessment in geriatric diabetes care and rehabilitation. Future longitudinal studies should examine whether increasing daily step count through structured walking, balance, and strengthening interventions can reduce fear of falling and improve functional independence in this population.</w:t>
      </w:r>
    </w:p>
    <w:p w14:paraId="3F20AFF5" w14:textId="77777777" w:rsidR="007B031E" w:rsidRPr="007B031E" w:rsidRDefault="007B031E" w:rsidP="003F7C15">
      <w:pPr>
        <w:pStyle w:val="Heading1"/>
      </w:pPr>
      <w:r w:rsidRPr="007B031E">
        <w:t>Conclusion</w:t>
      </w:r>
    </w:p>
    <w:p w14:paraId="640B232B" w14:textId="77777777" w:rsidR="007B031E" w:rsidRPr="007B031E" w:rsidRDefault="007B031E" w:rsidP="007B031E">
      <w:pPr>
        <w:pStyle w:val="Body"/>
      </w:pPr>
      <w:r w:rsidRPr="007B031E">
        <w:t>Older adults with type 2 diabetes mellitus demonstrated a significant negative association between daily step count and fear of falling, indicating that participants with lower ambulatory activity reported greater fall-related concern during daily activities. Most participants showed markedly reduced mobility, with 67.0% recording fewer than 3000 steps/day and 92.0% remaining below 6000 steps/day, while the correlation between daily step count and fear of falling was statistically significant but modest in magnitude. These findings suggest that step-count monitoring may serve as a practical clinical indicator for identifying older adults with type 2 diabetes who are at risk of fear-related activity restriction and functional decline. Incorporating objective activity assessment with fall-risk screening may support early rehabilitation planning, including progressive walking, balance training, strengthening exercises, and confidence-building strategies aimed at improving mobility and independence.</w:t>
      </w:r>
    </w:p>
    <w:p w14:paraId="1A51084F" w14:textId="77777777" w:rsidR="007B031E" w:rsidRPr="007B031E" w:rsidRDefault="007B031E" w:rsidP="003F7C15">
      <w:pPr>
        <w:pStyle w:val="Heading1"/>
      </w:pPr>
      <w:r w:rsidRPr="007B031E">
        <w:t>References</w:t>
      </w:r>
    </w:p>
    <w:p w14:paraId="0DF6068C" w14:textId="77777777" w:rsidR="003F7C15" w:rsidRDefault="003F7C15" w:rsidP="00120C3B">
      <w:pPr>
        <w:pStyle w:val="Body"/>
        <w:numPr>
          <w:ilvl w:val="0"/>
          <w:numId w:val="8"/>
        </w:numPr>
      </w:pPr>
      <w:r>
        <w:t>He Q, Wu Q, Wu S, Zhang X, Chen S, Pan Y. Walking faster or more is associated with better physical fitness among community-dwelling older Chinese women: a cross-sectional study. Gait Posture. 2025;122:264-71.</w:t>
      </w:r>
    </w:p>
    <w:p w14:paraId="3265EE52" w14:textId="77777777" w:rsidR="003F7C15" w:rsidRDefault="003F7C15" w:rsidP="00120C3B">
      <w:pPr>
        <w:pStyle w:val="Body"/>
        <w:numPr>
          <w:ilvl w:val="0"/>
          <w:numId w:val="8"/>
        </w:numPr>
      </w:pPr>
      <w:r>
        <w:t xml:space="preserve">Hornyak V, Brach JS, Wert DM, Hile E, Studenski S, VanSwearingen JM. What is the relation between fear of falling and physical activity in older adults? Arch Phys Med </w:t>
      </w:r>
      <w:proofErr w:type="spellStart"/>
      <w:r>
        <w:t>Rehabil</w:t>
      </w:r>
      <w:proofErr w:type="spellEnd"/>
      <w:r>
        <w:t>. 2013;94(12):2529-34.</w:t>
      </w:r>
    </w:p>
    <w:p w14:paraId="0B7481E1" w14:textId="77777777" w:rsidR="003F7C15" w:rsidRDefault="003F7C15" w:rsidP="00120C3B">
      <w:pPr>
        <w:pStyle w:val="Body"/>
        <w:numPr>
          <w:ilvl w:val="0"/>
          <w:numId w:val="8"/>
        </w:numPr>
      </w:pPr>
      <w:r>
        <w:t xml:space="preserve">Jefferis BJ, Iliffe S, Kendrick D, </w:t>
      </w:r>
      <w:proofErr w:type="spellStart"/>
      <w:r>
        <w:t>Kerse</w:t>
      </w:r>
      <w:proofErr w:type="spellEnd"/>
      <w:r>
        <w:t xml:space="preserve"> N, Trost S, Lennon LT, et al. How are falls and fear of falling associated with objectively measured physical activity in a cohort of community-dwelling older men? BMC </w:t>
      </w:r>
      <w:proofErr w:type="spellStart"/>
      <w:r>
        <w:t>Geriatr</w:t>
      </w:r>
      <w:proofErr w:type="spellEnd"/>
      <w:r>
        <w:t>. 2014;14(1):114.</w:t>
      </w:r>
    </w:p>
    <w:p w14:paraId="0FA75029" w14:textId="77777777" w:rsidR="003F7C15" w:rsidRDefault="003F7C15" w:rsidP="00120C3B">
      <w:pPr>
        <w:pStyle w:val="Body"/>
        <w:numPr>
          <w:ilvl w:val="0"/>
          <w:numId w:val="8"/>
        </w:numPr>
      </w:pPr>
      <w:r>
        <w:t xml:space="preserve">Jian-Yu E, Mihailovic A, Schrack JA, Li T, Friedman DS, West SK, et al. Characterizing longitudinal changes in physical activity and fear of falling after falls in glaucoma. J Am </w:t>
      </w:r>
      <w:proofErr w:type="spellStart"/>
      <w:r>
        <w:t>Geriatr</w:t>
      </w:r>
      <w:proofErr w:type="spellEnd"/>
      <w:r>
        <w:t xml:space="preserve"> Soc. 2021;69(5):1249.</w:t>
      </w:r>
    </w:p>
    <w:p w14:paraId="20BAE9F2" w14:textId="77777777" w:rsidR="003F7C15" w:rsidRDefault="003F7C15" w:rsidP="00120C3B">
      <w:pPr>
        <w:pStyle w:val="Body"/>
        <w:numPr>
          <w:ilvl w:val="0"/>
          <w:numId w:val="8"/>
        </w:numPr>
      </w:pPr>
      <w:r>
        <w:t xml:space="preserve">Liu H, Thomas P, Salem Y, Miller K, McGee M. Comparison of gait between walking up and down an incline with a walking device in older adults. </w:t>
      </w:r>
      <w:proofErr w:type="spellStart"/>
      <w:r>
        <w:t>Geriatr</w:t>
      </w:r>
      <w:proofErr w:type="spellEnd"/>
      <w:r>
        <w:t xml:space="preserve"> Nurs. 2023;53:141-5.</w:t>
      </w:r>
    </w:p>
    <w:p w14:paraId="3DADB378" w14:textId="77777777" w:rsidR="003F7C15" w:rsidRDefault="003F7C15" w:rsidP="00120C3B">
      <w:pPr>
        <w:pStyle w:val="Body"/>
        <w:numPr>
          <w:ilvl w:val="0"/>
          <w:numId w:val="8"/>
        </w:numPr>
      </w:pPr>
      <w:r>
        <w:t xml:space="preserve">Ramsey KA, </w:t>
      </w:r>
      <w:proofErr w:type="spellStart"/>
      <w:r>
        <w:t>Meskers</w:t>
      </w:r>
      <w:proofErr w:type="spellEnd"/>
      <w:r>
        <w:t xml:space="preserve"> CG, Maier AB. Every step counts: </w:t>
      </w:r>
      <w:proofErr w:type="spellStart"/>
      <w:r>
        <w:t>synthesising</w:t>
      </w:r>
      <w:proofErr w:type="spellEnd"/>
      <w:r>
        <w:t xml:space="preserve"> reviews associating objectively measured physical activity and sedentary </w:t>
      </w:r>
      <w:proofErr w:type="spellStart"/>
      <w:r>
        <w:t>behaviour</w:t>
      </w:r>
      <w:proofErr w:type="spellEnd"/>
      <w:r>
        <w:t xml:space="preserve"> with clinical outcomes in community-dwelling older adults. Lancet Healthy Longev. 2021;2(11):e764-72.</w:t>
      </w:r>
    </w:p>
    <w:p w14:paraId="4BCAD22B" w14:textId="77777777" w:rsidR="003F7C15" w:rsidRDefault="003F7C15" w:rsidP="00120C3B">
      <w:pPr>
        <w:pStyle w:val="Body"/>
        <w:numPr>
          <w:ilvl w:val="0"/>
          <w:numId w:val="8"/>
        </w:numPr>
      </w:pPr>
      <w:r>
        <w:t>Shuja A, Mukhtar T, Saeed M, Aslam T, Javed M. Relationship between digital health app engagement and physical activity adherence in adults with type 2 diabetes: a correlational study. J Health Wellness Community Res. 2026:1-9.</w:t>
      </w:r>
    </w:p>
    <w:p w14:paraId="3EED91B7" w14:textId="77777777" w:rsidR="003F7C15" w:rsidRPr="003F7C15" w:rsidRDefault="003F7C15" w:rsidP="00120C3B">
      <w:pPr>
        <w:pStyle w:val="Body"/>
        <w:numPr>
          <w:ilvl w:val="0"/>
          <w:numId w:val="8"/>
        </w:numPr>
        <w:rPr>
          <w:lang w:val="pt-BR"/>
        </w:rPr>
      </w:pPr>
      <w:r>
        <w:t xml:space="preserve">Rossler A, </w:t>
      </w:r>
      <w:proofErr w:type="spellStart"/>
      <w:r>
        <w:t>Thiamwong</w:t>
      </w:r>
      <w:proofErr w:type="spellEnd"/>
      <w:r>
        <w:t xml:space="preserve"> L, Xie R, Stout J, Park JH, Choudhury R, et al. Fear of falling, fall risk, depression, and anxiety in community-dwelling older adults. </w:t>
      </w:r>
      <w:r w:rsidRPr="003F7C15">
        <w:rPr>
          <w:lang w:val="pt-BR"/>
        </w:rPr>
        <w:t>Innov Aging. 2021;5 Suppl 1:1033.</w:t>
      </w:r>
    </w:p>
    <w:p w14:paraId="3AFBE802" w14:textId="77777777" w:rsidR="003F7C15" w:rsidRDefault="003F7C15" w:rsidP="00120C3B">
      <w:pPr>
        <w:pStyle w:val="Body"/>
        <w:numPr>
          <w:ilvl w:val="0"/>
          <w:numId w:val="8"/>
        </w:numPr>
      </w:pPr>
      <w:r w:rsidRPr="003F7C15">
        <w:rPr>
          <w:lang w:val="pt-BR"/>
        </w:rPr>
        <w:lastRenderedPageBreak/>
        <w:t xml:space="preserve">Lima DP, Gomes VC, Luna JRG, Santos LTR, Almeida SB, Viana-Júnior AB, et al. </w:t>
      </w:r>
      <w:r>
        <w:t>Assessment of sarcopenia tools as predictors of falls in patients with mild to moderate Parkinson's disease: a cohort study. Clinics (Sao Paulo). 2025;80:100776.</w:t>
      </w:r>
    </w:p>
    <w:p w14:paraId="6D0055FD" w14:textId="77777777" w:rsidR="003F7C15" w:rsidRDefault="003F7C15" w:rsidP="00120C3B">
      <w:pPr>
        <w:pStyle w:val="Body"/>
        <w:numPr>
          <w:ilvl w:val="0"/>
          <w:numId w:val="8"/>
        </w:numPr>
      </w:pPr>
      <w:r>
        <w:t xml:space="preserve">Coleman GT, Al </w:t>
      </w:r>
      <w:proofErr w:type="spellStart"/>
      <w:r>
        <w:t>Snih</w:t>
      </w:r>
      <w:proofErr w:type="spellEnd"/>
      <w:r>
        <w:t xml:space="preserve"> S. Diabetes and hospitalizations among Mexican Americans aged 75 years and older. J Prim Care Community Health. 2024;15:21501319241266108.</w:t>
      </w:r>
    </w:p>
    <w:p w14:paraId="40EFACC4" w14:textId="77777777" w:rsidR="003F7C15" w:rsidRDefault="003F7C15" w:rsidP="00120C3B">
      <w:pPr>
        <w:pStyle w:val="Body"/>
        <w:numPr>
          <w:ilvl w:val="0"/>
          <w:numId w:val="8"/>
        </w:numPr>
      </w:pPr>
      <w:proofErr w:type="spellStart"/>
      <w:r>
        <w:t>Zoulakis</w:t>
      </w:r>
      <w:proofErr w:type="spellEnd"/>
      <w:r>
        <w:t xml:space="preserve"> M, Johansson H, Harvey NC, Axelsson KF, </w:t>
      </w:r>
      <w:proofErr w:type="spellStart"/>
      <w:r>
        <w:t>Litsne</w:t>
      </w:r>
      <w:proofErr w:type="spellEnd"/>
      <w:r>
        <w:t xml:space="preserve"> H, Johansson L, et al. Effect of </w:t>
      </w:r>
      <w:proofErr w:type="spellStart"/>
      <w:r>
        <w:t>FRAXplus</w:t>
      </w:r>
      <w:proofErr w:type="spellEnd"/>
      <w:r>
        <w:t xml:space="preserve"> adjustments on fracture risk reclassification in older Swedish women-results from the SUPERB-study. </w:t>
      </w:r>
      <w:proofErr w:type="spellStart"/>
      <w:r>
        <w:t>Osteoporos</w:t>
      </w:r>
      <w:proofErr w:type="spellEnd"/>
      <w:r>
        <w:t xml:space="preserve"> Int. 2025;36(9):1649-59.</w:t>
      </w:r>
    </w:p>
    <w:p w14:paraId="45C3BDBC" w14:textId="77777777" w:rsidR="003F7C15" w:rsidRDefault="003F7C15" w:rsidP="00120C3B">
      <w:pPr>
        <w:pStyle w:val="Body"/>
        <w:numPr>
          <w:ilvl w:val="0"/>
          <w:numId w:val="8"/>
        </w:numPr>
      </w:pPr>
      <w:r>
        <w:t xml:space="preserve">Jin J, Wen S, Li Y, Zhou M, Duan Q, Zhou L. Factors associated with higher falling risk in elderly diabetic patients with lacunar stroke. BMC </w:t>
      </w:r>
      <w:proofErr w:type="spellStart"/>
      <w:r>
        <w:t>Endocr</w:t>
      </w:r>
      <w:proofErr w:type="spellEnd"/>
      <w:r>
        <w:t xml:space="preserve"> </w:t>
      </w:r>
      <w:proofErr w:type="spellStart"/>
      <w:r>
        <w:t>Disord</w:t>
      </w:r>
      <w:proofErr w:type="spellEnd"/>
      <w:r>
        <w:t>. 2022;22(1):198.</w:t>
      </w:r>
    </w:p>
    <w:p w14:paraId="0152A9AC" w14:textId="77777777" w:rsidR="003F7C15" w:rsidRPr="003F7C15" w:rsidRDefault="003F7C15" w:rsidP="00120C3B">
      <w:pPr>
        <w:pStyle w:val="Body"/>
        <w:numPr>
          <w:ilvl w:val="0"/>
          <w:numId w:val="8"/>
        </w:numPr>
        <w:rPr>
          <w:lang w:val="pt-BR"/>
        </w:rPr>
      </w:pPr>
      <w:r>
        <w:t xml:space="preserve">Denfeld QE, Goodlin S, </w:t>
      </w:r>
      <w:proofErr w:type="spellStart"/>
      <w:r>
        <w:t>Abedalweli</w:t>
      </w:r>
      <w:proofErr w:type="spellEnd"/>
      <w:r>
        <w:t xml:space="preserve"> R, Roberts Davis M, Hiatt SO, Lee CS, et al. Frequency and predictors of falls among adults with heart failure: a prospective study. </w:t>
      </w:r>
      <w:r w:rsidRPr="003F7C15">
        <w:rPr>
          <w:lang w:val="pt-BR"/>
        </w:rPr>
        <w:t>J Card Fail. 2023;29(3):414-8.</w:t>
      </w:r>
    </w:p>
    <w:p w14:paraId="5B43CCD3" w14:textId="77777777" w:rsidR="003F7C15" w:rsidRDefault="003F7C15" w:rsidP="00120C3B">
      <w:pPr>
        <w:pStyle w:val="Body"/>
        <w:numPr>
          <w:ilvl w:val="0"/>
          <w:numId w:val="8"/>
        </w:numPr>
      </w:pPr>
      <w:r w:rsidRPr="003F7C15">
        <w:rPr>
          <w:lang w:val="pt-BR"/>
        </w:rPr>
        <w:t xml:space="preserve">Cabo CA, Parraca JA, Fernandes O, Nunes P, Mendes C, Espada MC. </w:t>
      </w:r>
      <w:r>
        <w:t xml:space="preserve">The impact of sensorimotor training on physical fitness in older women with diabetes: a pilot study. BMC </w:t>
      </w:r>
      <w:proofErr w:type="spellStart"/>
      <w:r>
        <w:t>Geriatr</w:t>
      </w:r>
      <w:proofErr w:type="spellEnd"/>
      <w:r>
        <w:t>. 2025;25(1):944.</w:t>
      </w:r>
    </w:p>
    <w:p w14:paraId="5315B456" w14:textId="77777777" w:rsidR="003F7C15" w:rsidRDefault="003F7C15" w:rsidP="00120C3B">
      <w:pPr>
        <w:pStyle w:val="Body"/>
        <w:numPr>
          <w:ilvl w:val="0"/>
          <w:numId w:val="8"/>
        </w:numPr>
      </w:pPr>
      <w:r>
        <w:t>Suzuki Y, Suzuki H, Maruo K, Matsuda T, Murayama Y, Sugano Y, et al. Longitudinal association of SGLT2 inhibitors and GLP-1RAs on falls in persons with type 2 diabetes. Sci Rep. 2025;15(1):9178.</w:t>
      </w:r>
    </w:p>
    <w:p w14:paraId="02B42BF3" w14:textId="77777777" w:rsidR="003F7C15" w:rsidRDefault="003F7C15" w:rsidP="00120C3B">
      <w:pPr>
        <w:pStyle w:val="Body"/>
        <w:numPr>
          <w:ilvl w:val="0"/>
          <w:numId w:val="8"/>
        </w:numPr>
      </w:pPr>
      <w:r>
        <w:t>Meyer KS, Roberts J, Sasser Croley K. Part four: identifying, managing, and preventing adverse effects of diabetes medications. Sr Care Pharm. 2022;37(8):310-6.</w:t>
      </w:r>
    </w:p>
    <w:p w14:paraId="5506C18C" w14:textId="77777777" w:rsidR="003F7C15" w:rsidRPr="003F7C15" w:rsidRDefault="003F7C15" w:rsidP="00120C3B">
      <w:pPr>
        <w:pStyle w:val="Body"/>
        <w:numPr>
          <w:ilvl w:val="0"/>
          <w:numId w:val="8"/>
        </w:numPr>
        <w:rPr>
          <w:lang w:val="pt-BR"/>
        </w:rPr>
      </w:pPr>
      <w:r>
        <w:t xml:space="preserve">Jahan S, Fatima S, Mumtaz A, Alam A, Bhatti NK, Saeed A. Relationship of </w:t>
      </w:r>
      <w:proofErr w:type="spellStart"/>
      <w:r>
        <w:t>glycaemic</w:t>
      </w:r>
      <w:proofErr w:type="spellEnd"/>
      <w:r>
        <w:t xml:space="preserve"> control with endurance and fall risk in diabetics with and without cardiovascular diseases. </w:t>
      </w:r>
      <w:r w:rsidRPr="003F7C15">
        <w:rPr>
          <w:lang w:val="pt-BR"/>
        </w:rPr>
        <w:t>J Pak Med Assoc. 2025;75(7):1091-4.</w:t>
      </w:r>
    </w:p>
    <w:p w14:paraId="7F3C0182" w14:textId="77777777" w:rsidR="003F7C15" w:rsidRDefault="003F7C15" w:rsidP="00120C3B">
      <w:pPr>
        <w:pStyle w:val="Body"/>
        <w:numPr>
          <w:ilvl w:val="0"/>
          <w:numId w:val="8"/>
        </w:numPr>
      </w:pPr>
      <w:r w:rsidRPr="003F7C15">
        <w:rPr>
          <w:lang w:val="pt-BR"/>
        </w:rPr>
        <w:t xml:space="preserve">Freire LB, Brasil-Neto JP, da Silva ML, Miranda MGC, de Mattos Cruz L, Martins WR, et al. </w:t>
      </w:r>
      <w:r>
        <w:t xml:space="preserve">Risk factors for falls in older adults with diabetes mellitus: systematic review and meta-analysis. BMC </w:t>
      </w:r>
      <w:proofErr w:type="spellStart"/>
      <w:r>
        <w:t>Geriatr</w:t>
      </w:r>
      <w:proofErr w:type="spellEnd"/>
      <w:r>
        <w:t>. 2024;24(1):201.</w:t>
      </w:r>
    </w:p>
    <w:p w14:paraId="5B920D08" w14:textId="3C12CD6A" w:rsidR="00AF4899" w:rsidRPr="007B031E" w:rsidRDefault="003F7C15" w:rsidP="00120C3B">
      <w:pPr>
        <w:pStyle w:val="Body"/>
        <w:numPr>
          <w:ilvl w:val="0"/>
          <w:numId w:val="8"/>
        </w:numPr>
      </w:pPr>
      <w:r>
        <w:t xml:space="preserve">Bayrak M, </w:t>
      </w:r>
      <w:proofErr w:type="spellStart"/>
      <w:r>
        <w:t>Ka</w:t>
      </w:r>
      <w:r>
        <w:rPr>
          <w:rFonts w:ascii="Cambria" w:hAnsi="Cambria" w:cs="Cambria"/>
        </w:rPr>
        <w:t>ş</w:t>
      </w:r>
      <w:r>
        <w:t>ali</w:t>
      </w:r>
      <w:proofErr w:type="spellEnd"/>
      <w:r>
        <w:t xml:space="preserve"> K, G</w:t>
      </w:r>
      <w:r>
        <w:rPr>
          <w:rFonts w:cs="Plantagenet Cherokee"/>
        </w:rPr>
        <w:t>ü</w:t>
      </w:r>
      <w:r>
        <w:t xml:space="preserve">ner M, </w:t>
      </w:r>
      <w:proofErr w:type="spellStart"/>
      <w:r>
        <w:t>Cadirci</w:t>
      </w:r>
      <w:proofErr w:type="spellEnd"/>
      <w:r>
        <w:t xml:space="preserve"> K, K</w:t>
      </w:r>
      <w:r>
        <w:rPr>
          <w:rFonts w:ascii="Cambria" w:hAnsi="Cambria" w:cs="Cambria"/>
        </w:rPr>
        <w:t>ı</w:t>
      </w:r>
      <w:r>
        <w:t>l</w:t>
      </w:r>
      <w:r>
        <w:rPr>
          <w:rFonts w:ascii="Cambria" w:hAnsi="Cambria" w:cs="Cambria"/>
        </w:rPr>
        <w:t>ı</w:t>
      </w:r>
      <w:r>
        <w:rPr>
          <w:rFonts w:cs="Plantagenet Cherokee"/>
        </w:rPr>
        <w:t>ç</w:t>
      </w:r>
      <w:r>
        <w:t xml:space="preserve"> AF, Binici DN. Risk factors influencing fall risk in geriatric patients with type 2 diabetes: a comprehensive analysis. Aging Male. 2025;28(1):2469614.</w:t>
      </w:r>
    </w:p>
    <w:sectPr w:rsidR="00AF4899" w:rsidRPr="007B031E"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FFAA" w14:textId="77777777" w:rsidR="00C534B7" w:rsidRDefault="00C534B7" w:rsidP="005146DA">
      <w:pPr>
        <w:spacing w:after="0" w:line="240" w:lineRule="auto"/>
      </w:pPr>
      <w:r>
        <w:separator/>
      </w:r>
    </w:p>
  </w:endnote>
  <w:endnote w:type="continuationSeparator" w:id="0">
    <w:p w14:paraId="7FC825A4" w14:textId="77777777" w:rsidR="00C534B7" w:rsidRDefault="00C534B7"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Khmer UI">
    <w:charset w:val="00"/>
    <w:family w:val="swiss"/>
    <w:pitch w:val="variable"/>
    <w:sig w:usb0="80000003" w:usb1="00000000" w:usb2="0001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CFDF" w14:textId="77777777" w:rsidR="00C6627F" w:rsidRPr="00662F11" w:rsidRDefault="00C6627F" w:rsidP="00C6627F">
    <w:pPr>
      <w:pBdr>
        <w:bottom w:val="single" w:sz="6" w:space="1" w:color="auto"/>
      </w:pBdr>
      <w:rPr>
        <w:rFonts w:ascii="Plantagenet Cherokee" w:hAnsi="Plantagenet Cherokee" w:cstheme="majorBidi"/>
        <w:color w:val="0B769F" w:themeColor="accent4" w:themeShade="BF"/>
        <w:sz w:val="8"/>
        <w:szCs w:val="8"/>
        <w:lang w:val="en-US"/>
      </w:rPr>
    </w:pPr>
  </w:p>
  <w:p w14:paraId="657A6E1C" w14:textId="3A6364FD" w:rsidR="008F6C61" w:rsidRPr="00662F11" w:rsidRDefault="008F6C61" w:rsidP="008F6C61">
    <w:pPr>
      <w:pStyle w:val="NoSpacing"/>
      <w:jc w:val="right"/>
      <w:rPr>
        <w:rFonts w:ascii="Plantagenet Cherokee" w:hAnsi="Plantagenet Cherokee"/>
        <w:color w:val="0B769F" w:themeColor="accent4" w:themeShade="BF"/>
        <w:sz w:val="12"/>
        <w:szCs w:val="12"/>
        <w:lang w:val="en-US"/>
      </w:rPr>
    </w:pPr>
    <w:r w:rsidRPr="00662F11">
      <w:rPr>
        <w:noProof/>
        <w:color w:val="0B769F" w:themeColor="accent4" w:themeShade="BF"/>
        <w:lang w:val="en-US"/>
      </w:rPr>
      <w:drawing>
        <wp:anchor distT="0" distB="0" distL="114300" distR="114300" simplePos="0" relativeHeight="251658240" behindDoc="0" locked="0" layoutInCell="1" allowOverlap="1" wp14:anchorId="08A52D60" wp14:editId="12722D8A">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00662F11" w:rsidRPr="00662F11">
      <w:rPr>
        <w:rFonts w:ascii="Plantagenet Cherokee" w:hAnsi="Plantagenet Cherokee"/>
        <w:color w:val="0B769F" w:themeColor="accent4" w:themeShade="BF"/>
        <w:sz w:val="12"/>
        <w:szCs w:val="12"/>
        <w:lang w:val="en-US"/>
      </w:rPr>
      <w:t>Journal</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of</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Health,</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Wellness</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and</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Community</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Research</w:t>
    </w:r>
    <w:r w:rsidR="001D231A">
      <w:rPr>
        <w:rFonts w:ascii="Plantagenet Cherokee" w:hAnsi="Plantagenet Cherokee"/>
        <w:color w:val="0B769F" w:themeColor="accent4" w:themeShade="BF"/>
        <w:sz w:val="12"/>
        <w:szCs w:val="12"/>
        <w:lang w:val="en-US"/>
      </w:rPr>
      <w:t xml:space="preserve"> </w:t>
    </w:r>
    <w:r w:rsidR="0074006B"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0074006B" w:rsidRPr="00662F11">
      <w:rPr>
        <w:rFonts w:ascii="Plantagenet Cherokee" w:hAnsi="Plantagenet Cherokee"/>
        <w:color w:val="0B769F" w:themeColor="accent4" w:themeShade="BF"/>
        <w:sz w:val="12"/>
        <w:szCs w:val="12"/>
        <w:lang w:val="en-US"/>
      </w:rPr>
      <w:t>Volume</w:t>
    </w:r>
    <w:r w:rsidR="001D231A">
      <w:rPr>
        <w:rFonts w:ascii="Plantagenet Cherokee" w:hAnsi="Plantagenet Cherokee"/>
        <w:color w:val="0B769F" w:themeColor="accent4" w:themeShade="BF"/>
        <w:sz w:val="12"/>
        <w:szCs w:val="12"/>
        <w:lang w:val="en-US"/>
      </w:rPr>
      <w:t xml:space="preserve"> </w:t>
    </w:r>
    <w:r w:rsidR="00662F11" w:rsidRPr="00662F11">
      <w:rPr>
        <w:rFonts w:ascii="Plantagenet Cherokee" w:hAnsi="Plantagenet Cherokee"/>
        <w:color w:val="0B769F" w:themeColor="accent4" w:themeShade="BF"/>
        <w:sz w:val="12"/>
        <w:szCs w:val="12"/>
        <w:lang w:val="en-US"/>
      </w:rPr>
      <w:t>4</w:t>
    </w:r>
    <w:r w:rsidR="0074006B"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0074006B" w:rsidRPr="00662F11">
      <w:rPr>
        <w:rFonts w:ascii="Plantagenet Cherokee" w:hAnsi="Plantagenet Cherokee"/>
        <w:color w:val="0B769F" w:themeColor="accent4" w:themeShade="BF"/>
        <w:sz w:val="12"/>
        <w:szCs w:val="12"/>
        <w:lang w:val="en-US"/>
      </w:rPr>
      <w:t>Issue</w:t>
    </w:r>
    <w:r w:rsidR="001D231A">
      <w:rPr>
        <w:rFonts w:ascii="Plantagenet Cherokee" w:hAnsi="Plantagenet Cherokee"/>
        <w:color w:val="0B769F" w:themeColor="accent4" w:themeShade="BF"/>
        <w:sz w:val="12"/>
        <w:szCs w:val="12"/>
        <w:lang w:val="en-US"/>
      </w:rPr>
      <w:t xml:space="preserve"> </w:t>
    </w:r>
    <w:r w:rsidR="00FC5B5F">
      <w:rPr>
        <w:rFonts w:ascii="Plantagenet Cherokee" w:hAnsi="Plantagenet Cherokee"/>
        <w:color w:val="0B769F" w:themeColor="accent4" w:themeShade="BF"/>
        <w:sz w:val="12"/>
        <w:szCs w:val="12"/>
        <w:lang w:val="en-US"/>
      </w:rPr>
      <w:t>9</w:t>
    </w:r>
    <w:r w:rsidR="0074006B"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00FC5B5F">
      <w:rPr>
        <w:rFonts w:ascii="Plantagenet Cherokee" w:hAnsi="Plantagenet Cherokee"/>
        <w:color w:val="0B769F" w:themeColor="accent4" w:themeShade="BF"/>
        <w:sz w:val="12"/>
        <w:szCs w:val="12"/>
        <w:lang w:val="en-US"/>
      </w:rPr>
      <w:t xml:space="preserve">May </w:t>
    </w:r>
    <w:r w:rsidR="00662F11" w:rsidRPr="00662F11">
      <w:rPr>
        <w:rFonts w:ascii="Plantagenet Cherokee" w:hAnsi="Plantagenet Cherokee"/>
        <w:color w:val="0B769F" w:themeColor="accent4" w:themeShade="BF"/>
        <w:sz w:val="12"/>
        <w:szCs w:val="12"/>
        <w:lang w:val="en-US"/>
      </w:rPr>
      <w:t>2026</w:t>
    </w:r>
  </w:p>
  <w:p w14:paraId="24DF08AE" w14:textId="1B3FD9B1" w:rsidR="002816A1" w:rsidRPr="00662F11" w:rsidRDefault="00662F11" w:rsidP="008F6C61">
    <w:pPr>
      <w:pStyle w:val="NoSpacing"/>
      <w:jc w:val="right"/>
      <w:rPr>
        <w:rFonts w:ascii="Plantagenet Cherokee" w:hAnsi="Plantagenet Cherokee"/>
        <w:color w:val="0B769F" w:themeColor="accent4" w:themeShade="BF"/>
        <w:sz w:val="12"/>
        <w:szCs w:val="12"/>
        <w:lang w:val="en-US"/>
      </w:rPr>
    </w:pPr>
    <w:r w:rsidRPr="00662F11">
      <w:rPr>
        <w:rFonts w:ascii="Plantagenet Cherokee" w:hAnsi="Plantagenet Cherokee"/>
        <w:color w:val="0B769F" w:themeColor="accent4" w:themeShade="BF"/>
        <w:sz w:val="12"/>
        <w:szCs w:val="12"/>
        <w:lang w:val="en-US"/>
      </w:rPr>
      <w:t>ISSN</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3007-0570</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2026</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The</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Authors</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CC</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BY</w:t>
    </w:r>
    <w:r w:rsidR="001D231A">
      <w:rPr>
        <w:rFonts w:ascii="Plantagenet Cherokee" w:hAnsi="Plantagenet Cherokee"/>
        <w:color w:val="0B769F" w:themeColor="accent4" w:themeShade="BF"/>
        <w:sz w:val="12"/>
        <w:szCs w:val="12"/>
        <w:lang w:val="en-US"/>
      </w:rPr>
      <w:t xml:space="preserve"> </w:t>
    </w:r>
    <w:r w:rsidRPr="00662F11">
      <w:rPr>
        <w:rFonts w:ascii="Plantagenet Cherokee" w:hAnsi="Plantagenet Cherokee"/>
        <w:color w:val="0B769F" w:themeColor="accent4" w:themeShade="BF"/>
        <w:sz w:val="12"/>
        <w:szCs w:val="12"/>
        <w:lang w:val="en-US"/>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00A5" w14:textId="77777777" w:rsidR="00C534B7" w:rsidRDefault="00C534B7" w:rsidP="005146DA">
      <w:pPr>
        <w:spacing w:after="0" w:line="240" w:lineRule="auto"/>
      </w:pPr>
      <w:r>
        <w:separator/>
      </w:r>
    </w:p>
  </w:footnote>
  <w:footnote w:type="continuationSeparator" w:id="0">
    <w:p w14:paraId="1F4A2F34" w14:textId="77777777" w:rsidR="00C534B7" w:rsidRDefault="00C534B7" w:rsidP="0051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lantagenet Cherokee" w:hAnsi="Plantagenet Cherokee" w:cstheme="majorBidi"/>
        <w:color w:val="0B769F" w:themeColor="accent4" w:themeShade="BF"/>
        <w:vertAlign w:val="subscript"/>
      </w:rPr>
      <w:id w:val="1703678282"/>
      <w:docPartObj>
        <w:docPartGallery w:val="Page Numbers (Top of Page)"/>
        <w:docPartUnique/>
      </w:docPartObj>
    </w:sdtPr>
    <w:sdtEndPr>
      <w:rPr>
        <w:rStyle w:val="BodyChar"/>
        <w:sz w:val="20"/>
        <w:szCs w:val="18"/>
      </w:rPr>
    </w:sdtEndPr>
    <w:sdtContent>
      <w:p w14:paraId="2F4B3DB0" w14:textId="2005D476" w:rsidR="0031489C" w:rsidRPr="00662F11" w:rsidRDefault="00662F11" w:rsidP="0031489C">
        <w:pPr>
          <w:pStyle w:val="Header"/>
          <w:pBdr>
            <w:bottom w:val="single" w:sz="4" w:space="1" w:color="D9D9D9" w:themeColor="background1" w:themeShade="D9"/>
          </w:pBdr>
          <w:jc w:val="center"/>
          <w:rPr>
            <w:rStyle w:val="BodyChar"/>
            <w:rFonts w:cstheme="majorBidi"/>
            <w:color w:val="0B769F" w:themeColor="accent4" w:themeShade="BF"/>
            <w:sz w:val="18"/>
            <w:vertAlign w:val="subscript"/>
          </w:rPr>
        </w:pPr>
        <w:r w:rsidRPr="00662F11">
          <w:rPr>
            <w:rFonts w:ascii="Plantagenet Cherokee" w:hAnsi="Plantagenet Cherokee" w:cstheme="majorBidi"/>
            <w:color w:val="0B769F" w:themeColor="accent4" w:themeShade="BF"/>
            <w:vertAlign w:val="subscript"/>
          </w:rPr>
          <w:t>JHWCR</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2026;4(</w:t>
        </w:r>
        <w:r w:rsidR="00FC5B5F">
          <w:rPr>
            <w:rFonts w:ascii="Plantagenet Cherokee" w:hAnsi="Plantagenet Cherokee" w:cstheme="majorBidi"/>
            <w:color w:val="0B769F" w:themeColor="accent4" w:themeShade="BF"/>
            <w:vertAlign w:val="subscript"/>
          </w:rPr>
          <w:t>9</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ISSN</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3007-0570</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2026</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The</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Authors</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CC</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BY</w:t>
        </w:r>
        <w:r w:rsidR="001D231A">
          <w:rPr>
            <w:rFonts w:ascii="Plantagenet Cherokee" w:hAnsi="Plantagenet Cherokee" w:cstheme="majorBidi"/>
            <w:color w:val="0B769F" w:themeColor="accent4" w:themeShade="BF"/>
            <w:vertAlign w:val="subscript"/>
          </w:rPr>
          <w:t xml:space="preserve"> </w:t>
        </w:r>
        <w:r w:rsidRPr="00662F11">
          <w:rPr>
            <w:rFonts w:ascii="Plantagenet Cherokee" w:hAnsi="Plantagenet Cherokee" w:cstheme="majorBidi"/>
            <w:color w:val="0B769F" w:themeColor="accent4" w:themeShade="BF"/>
            <w:vertAlign w:val="subscript"/>
          </w:rPr>
          <w:t>4.0</w:t>
        </w:r>
        <w:r w:rsidR="001D231A">
          <w:rPr>
            <w:rStyle w:val="BodyChar"/>
            <w:rFonts w:cstheme="majorBidi"/>
            <w:color w:val="0B769F" w:themeColor="accent4" w:themeShade="BF"/>
            <w:sz w:val="18"/>
            <w:vertAlign w:val="subscript"/>
          </w:rPr>
          <w:t xml:space="preserve"> </w:t>
        </w:r>
        <w:r w:rsidR="0031489C" w:rsidRPr="00662F11">
          <w:rPr>
            <w:rStyle w:val="BodyChar"/>
            <w:rFonts w:cstheme="majorBidi"/>
            <w:color w:val="0B769F" w:themeColor="accent4" w:themeShade="BF"/>
            <w:sz w:val="18"/>
            <w:vertAlign w:val="subscript"/>
          </w:rPr>
          <w:t>|</w:t>
        </w:r>
        <w:r w:rsidR="001D231A">
          <w:rPr>
            <w:rStyle w:val="BodyChar"/>
            <w:rFonts w:cstheme="majorBidi"/>
            <w:color w:val="0B769F" w:themeColor="accent4" w:themeShade="BF"/>
            <w:sz w:val="18"/>
            <w:vertAlign w:val="subscript"/>
          </w:rPr>
          <w:t xml:space="preserve"> </w:t>
        </w:r>
        <w:r w:rsidR="0031489C" w:rsidRPr="00662F11">
          <w:rPr>
            <w:rStyle w:val="BodyChar"/>
            <w:rFonts w:cstheme="majorBidi"/>
            <w:color w:val="0B769F" w:themeColor="accent4" w:themeShade="BF"/>
            <w:sz w:val="18"/>
            <w:vertAlign w:val="subscript"/>
          </w:rPr>
          <w:t>Page</w:t>
        </w:r>
        <w:r w:rsidR="001D231A">
          <w:rPr>
            <w:rStyle w:val="BodyChar"/>
            <w:rFonts w:cstheme="majorBidi"/>
            <w:color w:val="0B769F" w:themeColor="accent4" w:themeShade="BF"/>
            <w:sz w:val="18"/>
            <w:vertAlign w:val="subscript"/>
          </w:rPr>
          <w:t xml:space="preserve"> </w:t>
        </w:r>
        <w:r w:rsidR="0031489C" w:rsidRPr="00662F11">
          <w:rPr>
            <w:rStyle w:val="BodyChar"/>
            <w:rFonts w:cstheme="majorBidi"/>
            <w:color w:val="0B769F" w:themeColor="accent4" w:themeShade="BF"/>
            <w:sz w:val="18"/>
            <w:vertAlign w:val="subscript"/>
          </w:rPr>
          <w:fldChar w:fldCharType="begin"/>
        </w:r>
        <w:r w:rsidR="0031489C" w:rsidRPr="00662F11">
          <w:rPr>
            <w:rStyle w:val="BodyChar"/>
            <w:rFonts w:cstheme="majorBidi"/>
            <w:color w:val="0B769F" w:themeColor="accent4" w:themeShade="BF"/>
            <w:sz w:val="18"/>
            <w:vertAlign w:val="subscript"/>
          </w:rPr>
          <w:instrText xml:space="preserve"> PAGE   \* MERGEFORMAT </w:instrText>
        </w:r>
        <w:r w:rsidR="0031489C" w:rsidRPr="00662F11">
          <w:rPr>
            <w:rStyle w:val="BodyChar"/>
            <w:rFonts w:cstheme="majorBidi"/>
            <w:color w:val="0B769F" w:themeColor="accent4" w:themeShade="BF"/>
            <w:sz w:val="18"/>
            <w:vertAlign w:val="subscript"/>
          </w:rPr>
          <w:fldChar w:fldCharType="separate"/>
        </w:r>
        <w:r w:rsidR="0031489C" w:rsidRPr="00662F11">
          <w:rPr>
            <w:rStyle w:val="BodyChar"/>
            <w:rFonts w:cstheme="majorBidi"/>
            <w:color w:val="0B769F" w:themeColor="accent4" w:themeShade="BF"/>
            <w:vertAlign w:val="subscript"/>
          </w:rPr>
          <w:t>2</w:t>
        </w:r>
        <w:r w:rsidR="0031489C" w:rsidRPr="00662F11">
          <w:rPr>
            <w:rStyle w:val="BodyChar"/>
            <w:rFonts w:cstheme="majorBidi"/>
            <w:color w:val="0B769F" w:themeColor="accent4" w:themeShade="BF"/>
            <w:sz w:val="18"/>
            <w:vertAlign w:val="subscrip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6344" w14:textId="77777777" w:rsidR="00861E9B" w:rsidRDefault="00662F11" w:rsidP="0074006B">
    <w:pPr>
      <w:pStyle w:val="NoSpacing"/>
      <w:tabs>
        <w:tab w:val="left" w:pos="220"/>
      </w:tabs>
      <w:rPr>
        <w:rFonts w:ascii="Plantagenet Cherokee" w:hAnsi="Plantagenet Cherokee"/>
      </w:rPr>
    </w:pPr>
    <w:r>
      <w:rPr>
        <w:rFonts w:ascii="Arial Black" w:hAnsi="Arial Black"/>
        <w:b/>
        <w:bCs/>
        <w:noProof/>
        <w:color w:val="0F9ED5" w:themeColor="accent4"/>
        <w:sz w:val="40"/>
        <w:szCs w:val="48"/>
        <w:lang w:val="en-US"/>
      </w:rPr>
      <w:drawing>
        <wp:inline distT="0" distB="0" distL="0" distR="0" wp14:anchorId="6C11F410" wp14:editId="1C604CCE">
          <wp:extent cx="2093002" cy="276185"/>
          <wp:effectExtent l="0" t="0" r="2540" b="0"/>
          <wp:docPr id="1940728984" name="Graphic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28984" name="Graphic 3">
                    <a:hlinkClick r:id="rId1"/>
                  </pic:cNvPr>
                  <pic:cNvPicPr/>
                </pic:nvPicPr>
                <pic:blipFill rotWithShape="1">
                  <a:blip r:embed="rId2">
                    <a:extLst>
                      <a:ext uri="{96DAC541-7B7A-43D3-8B79-37D633B846F1}">
                        <asvg:svgBlip xmlns:asvg="http://schemas.microsoft.com/office/drawing/2016/SVG/main" r:embed="rId3"/>
                      </a:ext>
                    </a:extLst>
                  </a:blip>
                  <a:srcRect l="5185" t="27801" r="1963" b="27801"/>
                  <a:stretch>
                    <a:fillRect/>
                  </a:stretch>
                </pic:blipFill>
                <pic:spPr bwMode="auto">
                  <a:xfrm>
                    <a:off x="0" y="0"/>
                    <a:ext cx="2146293" cy="283217"/>
                  </a:xfrm>
                  <a:prstGeom prst="rect">
                    <a:avLst/>
                  </a:prstGeom>
                  <a:ln>
                    <a:noFill/>
                  </a:ln>
                  <a:extLst>
                    <a:ext uri="{53640926-AAD7-44D8-BBD7-CCE9431645EC}">
                      <a14:shadowObscured xmlns:a14="http://schemas.microsoft.com/office/drawing/2010/main"/>
                    </a:ext>
                  </a:extLst>
                </pic:spPr>
              </pic:pic>
            </a:graphicData>
          </a:graphic>
        </wp:inline>
      </w:drawing>
    </w:r>
  </w:p>
  <w:p w14:paraId="6D9B10AD" w14:textId="4EDA0E9D" w:rsidR="00861E9B" w:rsidRPr="0074006B" w:rsidRDefault="007B031E" w:rsidP="007B031E">
    <w:pPr>
      <w:pStyle w:val="NoSpacing"/>
      <w:tabs>
        <w:tab w:val="left" w:pos="220"/>
      </w:tabs>
      <w:jc w:val="right"/>
      <w:rPr>
        <w:rFonts w:ascii="Plantagenet Cherokee" w:hAnsi="Plantagenet Cherokee"/>
        <w:color w:val="0B769F" w:themeColor="accent4" w:themeShade="BF"/>
        <w:sz w:val="14"/>
        <w:szCs w:val="14"/>
      </w:rPr>
    </w:pPr>
    <w:r w:rsidRPr="007B031E">
      <w:rPr>
        <w:rFonts w:ascii="Plantagenet Cherokee" w:hAnsi="Plantagenet Cherokee"/>
        <w:color w:val="0B769F" w:themeColor="accent4" w:themeShade="BF"/>
        <w:sz w:val="14"/>
        <w:szCs w:val="14"/>
      </w:rPr>
      <w:t>https://doi.org/10.61919/g1p7jr79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3F8"/>
    <w:multiLevelType w:val="multilevel"/>
    <w:tmpl w:val="DC0432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4444C27"/>
    <w:multiLevelType w:val="multilevel"/>
    <w:tmpl w:val="9380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5464E"/>
    <w:multiLevelType w:val="multilevel"/>
    <w:tmpl w:val="CC9652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A2D2A25"/>
    <w:multiLevelType w:val="hybridMultilevel"/>
    <w:tmpl w:val="275C3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C7993"/>
    <w:multiLevelType w:val="hybridMultilevel"/>
    <w:tmpl w:val="91B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558A4"/>
    <w:multiLevelType w:val="multilevel"/>
    <w:tmpl w:val="CA80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00E0A"/>
    <w:multiLevelType w:val="hybridMultilevel"/>
    <w:tmpl w:val="7B501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8184083">
    <w:abstractNumId w:val="7"/>
  </w:num>
  <w:num w:numId="2" w16cid:durableId="2083259546">
    <w:abstractNumId w:val="1"/>
  </w:num>
  <w:num w:numId="3" w16cid:durableId="1679966929">
    <w:abstractNumId w:val="5"/>
  </w:num>
  <w:num w:numId="4" w16cid:durableId="45228930">
    <w:abstractNumId w:val="4"/>
  </w:num>
  <w:num w:numId="5" w16cid:durableId="382288353">
    <w:abstractNumId w:val="2"/>
  </w:num>
  <w:num w:numId="6" w16cid:durableId="1878354336">
    <w:abstractNumId w:val="3"/>
  </w:num>
  <w:num w:numId="7" w16cid:durableId="1985961853">
    <w:abstractNumId w:val="0"/>
  </w:num>
  <w:num w:numId="8" w16cid:durableId="13782381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144"/>
  <w:drawingGridHorizontalSpacing w:val="144"/>
  <w:drawingGridVerticalSpacing w:val="144"/>
  <w:characterSpacingControl w:val="doNotCompress"/>
  <w:hdrShapeDefaults>
    <o:shapedefaults v:ext="edit" spidmax="2050">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D1"/>
    <w:rsid w:val="00000CCB"/>
    <w:rsid w:val="000043F0"/>
    <w:rsid w:val="00004478"/>
    <w:rsid w:val="00004CC0"/>
    <w:rsid w:val="00005664"/>
    <w:rsid w:val="000061B5"/>
    <w:rsid w:val="0000693F"/>
    <w:rsid w:val="00007517"/>
    <w:rsid w:val="000078EA"/>
    <w:rsid w:val="000100BB"/>
    <w:rsid w:val="00012950"/>
    <w:rsid w:val="00012F54"/>
    <w:rsid w:val="000139DB"/>
    <w:rsid w:val="000148AB"/>
    <w:rsid w:val="00015BB5"/>
    <w:rsid w:val="00015BDF"/>
    <w:rsid w:val="0001648C"/>
    <w:rsid w:val="000166C1"/>
    <w:rsid w:val="000170E3"/>
    <w:rsid w:val="00017948"/>
    <w:rsid w:val="00021D41"/>
    <w:rsid w:val="00022307"/>
    <w:rsid w:val="000227F6"/>
    <w:rsid w:val="000247CA"/>
    <w:rsid w:val="00026945"/>
    <w:rsid w:val="00026CEF"/>
    <w:rsid w:val="0002734B"/>
    <w:rsid w:val="000321D9"/>
    <w:rsid w:val="0003240D"/>
    <w:rsid w:val="00034E11"/>
    <w:rsid w:val="0003560D"/>
    <w:rsid w:val="0003581C"/>
    <w:rsid w:val="00036B89"/>
    <w:rsid w:val="00037203"/>
    <w:rsid w:val="00040557"/>
    <w:rsid w:val="00041643"/>
    <w:rsid w:val="00041BBF"/>
    <w:rsid w:val="00041F12"/>
    <w:rsid w:val="00041F21"/>
    <w:rsid w:val="0004408C"/>
    <w:rsid w:val="00044BB6"/>
    <w:rsid w:val="00044C73"/>
    <w:rsid w:val="000461A7"/>
    <w:rsid w:val="00046C28"/>
    <w:rsid w:val="00046C7C"/>
    <w:rsid w:val="0004774C"/>
    <w:rsid w:val="00051F5C"/>
    <w:rsid w:val="00052180"/>
    <w:rsid w:val="000529A5"/>
    <w:rsid w:val="000536B0"/>
    <w:rsid w:val="00053EFB"/>
    <w:rsid w:val="00055152"/>
    <w:rsid w:val="00056E0D"/>
    <w:rsid w:val="00057EC7"/>
    <w:rsid w:val="00061461"/>
    <w:rsid w:val="0006178B"/>
    <w:rsid w:val="00063B00"/>
    <w:rsid w:val="0006433A"/>
    <w:rsid w:val="000645AC"/>
    <w:rsid w:val="0006672E"/>
    <w:rsid w:val="00066DE0"/>
    <w:rsid w:val="000726D1"/>
    <w:rsid w:val="00074F32"/>
    <w:rsid w:val="00075179"/>
    <w:rsid w:val="000762F0"/>
    <w:rsid w:val="00076FAB"/>
    <w:rsid w:val="00077792"/>
    <w:rsid w:val="000820A1"/>
    <w:rsid w:val="00082B03"/>
    <w:rsid w:val="00083257"/>
    <w:rsid w:val="000843BC"/>
    <w:rsid w:val="00085E1C"/>
    <w:rsid w:val="00085FD2"/>
    <w:rsid w:val="00091AFC"/>
    <w:rsid w:val="00091F6A"/>
    <w:rsid w:val="000920D3"/>
    <w:rsid w:val="00092733"/>
    <w:rsid w:val="00092816"/>
    <w:rsid w:val="00092B1C"/>
    <w:rsid w:val="0009358D"/>
    <w:rsid w:val="00093E42"/>
    <w:rsid w:val="00094074"/>
    <w:rsid w:val="00094B83"/>
    <w:rsid w:val="0009526A"/>
    <w:rsid w:val="00095B50"/>
    <w:rsid w:val="00096AB8"/>
    <w:rsid w:val="00096C70"/>
    <w:rsid w:val="00097307"/>
    <w:rsid w:val="000A031C"/>
    <w:rsid w:val="000A1372"/>
    <w:rsid w:val="000A1CE1"/>
    <w:rsid w:val="000A201E"/>
    <w:rsid w:val="000A5D74"/>
    <w:rsid w:val="000A6506"/>
    <w:rsid w:val="000A65A1"/>
    <w:rsid w:val="000B07E9"/>
    <w:rsid w:val="000B0C6D"/>
    <w:rsid w:val="000B1B2C"/>
    <w:rsid w:val="000B1E30"/>
    <w:rsid w:val="000B33C9"/>
    <w:rsid w:val="000B408C"/>
    <w:rsid w:val="000B411A"/>
    <w:rsid w:val="000B4EDA"/>
    <w:rsid w:val="000B7D86"/>
    <w:rsid w:val="000C202C"/>
    <w:rsid w:val="000C576E"/>
    <w:rsid w:val="000C5A2F"/>
    <w:rsid w:val="000C5CC2"/>
    <w:rsid w:val="000C5CF2"/>
    <w:rsid w:val="000C60BF"/>
    <w:rsid w:val="000C64C1"/>
    <w:rsid w:val="000C6672"/>
    <w:rsid w:val="000C7E54"/>
    <w:rsid w:val="000D00DD"/>
    <w:rsid w:val="000D09FA"/>
    <w:rsid w:val="000D0FE6"/>
    <w:rsid w:val="000D2D96"/>
    <w:rsid w:val="000D32CA"/>
    <w:rsid w:val="000D3327"/>
    <w:rsid w:val="000D3952"/>
    <w:rsid w:val="000D3C08"/>
    <w:rsid w:val="000D3D22"/>
    <w:rsid w:val="000D3D71"/>
    <w:rsid w:val="000D46FB"/>
    <w:rsid w:val="000D61EE"/>
    <w:rsid w:val="000D62A3"/>
    <w:rsid w:val="000D63DB"/>
    <w:rsid w:val="000D6B14"/>
    <w:rsid w:val="000D7465"/>
    <w:rsid w:val="000E0E33"/>
    <w:rsid w:val="000E2EEF"/>
    <w:rsid w:val="000E5BD3"/>
    <w:rsid w:val="000E656D"/>
    <w:rsid w:val="000E66EA"/>
    <w:rsid w:val="000E77C1"/>
    <w:rsid w:val="000F1B15"/>
    <w:rsid w:val="000F29F9"/>
    <w:rsid w:val="000F48C0"/>
    <w:rsid w:val="000F66A6"/>
    <w:rsid w:val="000F7F02"/>
    <w:rsid w:val="0010117A"/>
    <w:rsid w:val="00101454"/>
    <w:rsid w:val="00102CFA"/>
    <w:rsid w:val="00103294"/>
    <w:rsid w:val="00103F00"/>
    <w:rsid w:val="00106239"/>
    <w:rsid w:val="001068B7"/>
    <w:rsid w:val="00106BEB"/>
    <w:rsid w:val="00107BA8"/>
    <w:rsid w:val="0011036F"/>
    <w:rsid w:val="00110658"/>
    <w:rsid w:val="00110E72"/>
    <w:rsid w:val="001119D7"/>
    <w:rsid w:val="00112A8B"/>
    <w:rsid w:val="00112E6F"/>
    <w:rsid w:val="001131F8"/>
    <w:rsid w:val="00113B11"/>
    <w:rsid w:val="00113E50"/>
    <w:rsid w:val="0011409D"/>
    <w:rsid w:val="00114A92"/>
    <w:rsid w:val="00115593"/>
    <w:rsid w:val="00115B7A"/>
    <w:rsid w:val="00115EDF"/>
    <w:rsid w:val="00116404"/>
    <w:rsid w:val="00120480"/>
    <w:rsid w:val="00120C3B"/>
    <w:rsid w:val="00122FCB"/>
    <w:rsid w:val="001236CA"/>
    <w:rsid w:val="0012716B"/>
    <w:rsid w:val="0012776E"/>
    <w:rsid w:val="00130F18"/>
    <w:rsid w:val="001315E7"/>
    <w:rsid w:val="001322A0"/>
    <w:rsid w:val="00132D12"/>
    <w:rsid w:val="0013304A"/>
    <w:rsid w:val="00133157"/>
    <w:rsid w:val="0013322A"/>
    <w:rsid w:val="00135169"/>
    <w:rsid w:val="001374B4"/>
    <w:rsid w:val="00140298"/>
    <w:rsid w:val="001408A6"/>
    <w:rsid w:val="00140F5E"/>
    <w:rsid w:val="00142502"/>
    <w:rsid w:val="00142BE6"/>
    <w:rsid w:val="00142E4B"/>
    <w:rsid w:val="001433F4"/>
    <w:rsid w:val="00144175"/>
    <w:rsid w:val="001475C8"/>
    <w:rsid w:val="001503AD"/>
    <w:rsid w:val="00152188"/>
    <w:rsid w:val="00152475"/>
    <w:rsid w:val="001526C9"/>
    <w:rsid w:val="001528F3"/>
    <w:rsid w:val="001530DB"/>
    <w:rsid w:val="00153B19"/>
    <w:rsid w:val="00154A7C"/>
    <w:rsid w:val="00155518"/>
    <w:rsid w:val="00155642"/>
    <w:rsid w:val="001561FA"/>
    <w:rsid w:val="00160234"/>
    <w:rsid w:val="0016033E"/>
    <w:rsid w:val="00160937"/>
    <w:rsid w:val="00161CCE"/>
    <w:rsid w:val="00165671"/>
    <w:rsid w:val="001677CE"/>
    <w:rsid w:val="0017042B"/>
    <w:rsid w:val="00170685"/>
    <w:rsid w:val="00171987"/>
    <w:rsid w:val="00172E63"/>
    <w:rsid w:val="001759FB"/>
    <w:rsid w:val="00175A60"/>
    <w:rsid w:val="0017794D"/>
    <w:rsid w:val="00177985"/>
    <w:rsid w:val="001801C6"/>
    <w:rsid w:val="00180EF1"/>
    <w:rsid w:val="00181430"/>
    <w:rsid w:val="001835E8"/>
    <w:rsid w:val="00183633"/>
    <w:rsid w:val="00183C59"/>
    <w:rsid w:val="001842C8"/>
    <w:rsid w:val="001854B4"/>
    <w:rsid w:val="00190B1E"/>
    <w:rsid w:val="0019192C"/>
    <w:rsid w:val="00191AB1"/>
    <w:rsid w:val="00191B96"/>
    <w:rsid w:val="00192B07"/>
    <w:rsid w:val="001934BD"/>
    <w:rsid w:val="00195166"/>
    <w:rsid w:val="001958E7"/>
    <w:rsid w:val="001966AF"/>
    <w:rsid w:val="00197895"/>
    <w:rsid w:val="001A0455"/>
    <w:rsid w:val="001A1BC5"/>
    <w:rsid w:val="001A2164"/>
    <w:rsid w:val="001A2B9E"/>
    <w:rsid w:val="001A35E8"/>
    <w:rsid w:val="001A4451"/>
    <w:rsid w:val="001A48AE"/>
    <w:rsid w:val="001A4D11"/>
    <w:rsid w:val="001A55DF"/>
    <w:rsid w:val="001A5A24"/>
    <w:rsid w:val="001A5C6F"/>
    <w:rsid w:val="001A662D"/>
    <w:rsid w:val="001A70B7"/>
    <w:rsid w:val="001A713C"/>
    <w:rsid w:val="001B0F91"/>
    <w:rsid w:val="001B1308"/>
    <w:rsid w:val="001B2F01"/>
    <w:rsid w:val="001B47E3"/>
    <w:rsid w:val="001B536B"/>
    <w:rsid w:val="001C0ABC"/>
    <w:rsid w:val="001C1962"/>
    <w:rsid w:val="001C28A5"/>
    <w:rsid w:val="001C2CD4"/>
    <w:rsid w:val="001C2E01"/>
    <w:rsid w:val="001C4806"/>
    <w:rsid w:val="001C5878"/>
    <w:rsid w:val="001C5BE2"/>
    <w:rsid w:val="001C6B5A"/>
    <w:rsid w:val="001C749C"/>
    <w:rsid w:val="001C7626"/>
    <w:rsid w:val="001C7CA1"/>
    <w:rsid w:val="001C7FCC"/>
    <w:rsid w:val="001D0695"/>
    <w:rsid w:val="001D08CB"/>
    <w:rsid w:val="001D0CAC"/>
    <w:rsid w:val="001D12F0"/>
    <w:rsid w:val="001D175C"/>
    <w:rsid w:val="001D1E7D"/>
    <w:rsid w:val="001D231A"/>
    <w:rsid w:val="001D27FD"/>
    <w:rsid w:val="001D2E75"/>
    <w:rsid w:val="001D3B30"/>
    <w:rsid w:val="001D406B"/>
    <w:rsid w:val="001D46FD"/>
    <w:rsid w:val="001D4DA3"/>
    <w:rsid w:val="001D5C62"/>
    <w:rsid w:val="001D65F1"/>
    <w:rsid w:val="001D7E59"/>
    <w:rsid w:val="001E1318"/>
    <w:rsid w:val="001E304A"/>
    <w:rsid w:val="001E52C5"/>
    <w:rsid w:val="001E794B"/>
    <w:rsid w:val="001F044C"/>
    <w:rsid w:val="001F1BDB"/>
    <w:rsid w:val="001F1EC5"/>
    <w:rsid w:val="001F4423"/>
    <w:rsid w:val="001F59D2"/>
    <w:rsid w:val="001F5F30"/>
    <w:rsid w:val="001F7403"/>
    <w:rsid w:val="00201146"/>
    <w:rsid w:val="00202799"/>
    <w:rsid w:val="002033FB"/>
    <w:rsid w:val="002037B3"/>
    <w:rsid w:val="002038D4"/>
    <w:rsid w:val="00203B70"/>
    <w:rsid w:val="0020529B"/>
    <w:rsid w:val="00205883"/>
    <w:rsid w:val="00206FD7"/>
    <w:rsid w:val="00210E29"/>
    <w:rsid w:val="00210F8E"/>
    <w:rsid w:val="00211CB2"/>
    <w:rsid w:val="00212B7E"/>
    <w:rsid w:val="00212FAD"/>
    <w:rsid w:val="002130CF"/>
    <w:rsid w:val="00213A2A"/>
    <w:rsid w:val="0021418B"/>
    <w:rsid w:val="00221646"/>
    <w:rsid w:val="00222776"/>
    <w:rsid w:val="00222C85"/>
    <w:rsid w:val="0022313E"/>
    <w:rsid w:val="0022392C"/>
    <w:rsid w:val="002249DB"/>
    <w:rsid w:val="00224F13"/>
    <w:rsid w:val="00227BED"/>
    <w:rsid w:val="002313BC"/>
    <w:rsid w:val="00231F85"/>
    <w:rsid w:val="0023234A"/>
    <w:rsid w:val="002336FC"/>
    <w:rsid w:val="00233DEB"/>
    <w:rsid w:val="0023482F"/>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29EF"/>
    <w:rsid w:val="00263C7E"/>
    <w:rsid w:val="002645A1"/>
    <w:rsid w:val="002646C2"/>
    <w:rsid w:val="00265A16"/>
    <w:rsid w:val="00266A0F"/>
    <w:rsid w:val="00266B97"/>
    <w:rsid w:val="00266C23"/>
    <w:rsid w:val="00266EA3"/>
    <w:rsid w:val="00267569"/>
    <w:rsid w:val="00267A26"/>
    <w:rsid w:val="00270061"/>
    <w:rsid w:val="002742B4"/>
    <w:rsid w:val="00275274"/>
    <w:rsid w:val="00277397"/>
    <w:rsid w:val="00277756"/>
    <w:rsid w:val="00277C70"/>
    <w:rsid w:val="002802F9"/>
    <w:rsid w:val="002816A1"/>
    <w:rsid w:val="00281D2E"/>
    <w:rsid w:val="002831F8"/>
    <w:rsid w:val="00284518"/>
    <w:rsid w:val="00285461"/>
    <w:rsid w:val="00287449"/>
    <w:rsid w:val="0028791F"/>
    <w:rsid w:val="0029007D"/>
    <w:rsid w:val="00291322"/>
    <w:rsid w:val="00291B86"/>
    <w:rsid w:val="00292106"/>
    <w:rsid w:val="00292D47"/>
    <w:rsid w:val="00293152"/>
    <w:rsid w:val="00293D9C"/>
    <w:rsid w:val="002954BB"/>
    <w:rsid w:val="002A1FE3"/>
    <w:rsid w:val="002A386B"/>
    <w:rsid w:val="002A3B8E"/>
    <w:rsid w:val="002B118E"/>
    <w:rsid w:val="002B12F8"/>
    <w:rsid w:val="002B17C5"/>
    <w:rsid w:val="002B21E4"/>
    <w:rsid w:val="002B2D52"/>
    <w:rsid w:val="002B32B9"/>
    <w:rsid w:val="002B444C"/>
    <w:rsid w:val="002B464D"/>
    <w:rsid w:val="002B4D0B"/>
    <w:rsid w:val="002B4E4F"/>
    <w:rsid w:val="002C187C"/>
    <w:rsid w:val="002C2B44"/>
    <w:rsid w:val="002C35DA"/>
    <w:rsid w:val="002C3902"/>
    <w:rsid w:val="002C3C36"/>
    <w:rsid w:val="002C606E"/>
    <w:rsid w:val="002C621A"/>
    <w:rsid w:val="002C72A5"/>
    <w:rsid w:val="002D1821"/>
    <w:rsid w:val="002D1E63"/>
    <w:rsid w:val="002D205F"/>
    <w:rsid w:val="002D2DF2"/>
    <w:rsid w:val="002D54DF"/>
    <w:rsid w:val="002D5782"/>
    <w:rsid w:val="002D5DB5"/>
    <w:rsid w:val="002D6FC1"/>
    <w:rsid w:val="002D7046"/>
    <w:rsid w:val="002E151A"/>
    <w:rsid w:val="002E1DC4"/>
    <w:rsid w:val="002E1FF7"/>
    <w:rsid w:val="002E3349"/>
    <w:rsid w:val="002E3C00"/>
    <w:rsid w:val="002E4D9C"/>
    <w:rsid w:val="002E74FE"/>
    <w:rsid w:val="002E7ED9"/>
    <w:rsid w:val="002F014C"/>
    <w:rsid w:val="002F1CD9"/>
    <w:rsid w:val="002F2F9B"/>
    <w:rsid w:val="002F36D7"/>
    <w:rsid w:val="002F3762"/>
    <w:rsid w:val="002F46AB"/>
    <w:rsid w:val="00300338"/>
    <w:rsid w:val="00301F8E"/>
    <w:rsid w:val="00304212"/>
    <w:rsid w:val="00304A06"/>
    <w:rsid w:val="00304AC7"/>
    <w:rsid w:val="003068E1"/>
    <w:rsid w:val="00307F67"/>
    <w:rsid w:val="00307FDF"/>
    <w:rsid w:val="0031067C"/>
    <w:rsid w:val="0031489C"/>
    <w:rsid w:val="00314FBF"/>
    <w:rsid w:val="00315037"/>
    <w:rsid w:val="003166D2"/>
    <w:rsid w:val="00317469"/>
    <w:rsid w:val="003176A3"/>
    <w:rsid w:val="00317C19"/>
    <w:rsid w:val="0032044C"/>
    <w:rsid w:val="00320DBD"/>
    <w:rsid w:val="00321DBC"/>
    <w:rsid w:val="00322584"/>
    <w:rsid w:val="00322829"/>
    <w:rsid w:val="00322915"/>
    <w:rsid w:val="00322B2F"/>
    <w:rsid w:val="0032553C"/>
    <w:rsid w:val="00325BC4"/>
    <w:rsid w:val="0032610F"/>
    <w:rsid w:val="00327C8C"/>
    <w:rsid w:val="00330E69"/>
    <w:rsid w:val="003323F7"/>
    <w:rsid w:val="003332F3"/>
    <w:rsid w:val="0033354D"/>
    <w:rsid w:val="00334B4D"/>
    <w:rsid w:val="00334B98"/>
    <w:rsid w:val="00335DDB"/>
    <w:rsid w:val="0033686D"/>
    <w:rsid w:val="00337A5E"/>
    <w:rsid w:val="00341065"/>
    <w:rsid w:val="003414CF"/>
    <w:rsid w:val="00342C97"/>
    <w:rsid w:val="00344066"/>
    <w:rsid w:val="00344766"/>
    <w:rsid w:val="00344AC4"/>
    <w:rsid w:val="003453C3"/>
    <w:rsid w:val="0034599F"/>
    <w:rsid w:val="00350321"/>
    <w:rsid w:val="003507C9"/>
    <w:rsid w:val="00354556"/>
    <w:rsid w:val="00354733"/>
    <w:rsid w:val="00355316"/>
    <w:rsid w:val="003558D8"/>
    <w:rsid w:val="00355D58"/>
    <w:rsid w:val="003562FE"/>
    <w:rsid w:val="00356445"/>
    <w:rsid w:val="00356C5D"/>
    <w:rsid w:val="0036033B"/>
    <w:rsid w:val="0036083B"/>
    <w:rsid w:val="00362A01"/>
    <w:rsid w:val="00363ECF"/>
    <w:rsid w:val="00365502"/>
    <w:rsid w:val="003675B2"/>
    <w:rsid w:val="003719D0"/>
    <w:rsid w:val="00371D08"/>
    <w:rsid w:val="00371F8D"/>
    <w:rsid w:val="00372011"/>
    <w:rsid w:val="0037286E"/>
    <w:rsid w:val="003732FC"/>
    <w:rsid w:val="00373914"/>
    <w:rsid w:val="00374162"/>
    <w:rsid w:val="0037767E"/>
    <w:rsid w:val="00377CCB"/>
    <w:rsid w:val="00381B93"/>
    <w:rsid w:val="00382954"/>
    <w:rsid w:val="00382A00"/>
    <w:rsid w:val="00382BD4"/>
    <w:rsid w:val="00382FDD"/>
    <w:rsid w:val="00384503"/>
    <w:rsid w:val="00386C27"/>
    <w:rsid w:val="003879AF"/>
    <w:rsid w:val="00390462"/>
    <w:rsid w:val="00391441"/>
    <w:rsid w:val="00393576"/>
    <w:rsid w:val="003936A1"/>
    <w:rsid w:val="00393E8E"/>
    <w:rsid w:val="0039528E"/>
    <w:rsid w:val="0039602E"/>
    <w:rsid w:val="00396AD3"/>
    <w:rsid w:val="00396B61"/>
    <w:rsid w:val="00397890"/>
    <w:rsid w:val="00397EAC"/>
    <w:rsid w:val="003A1C9F"/>
    <w:rsid w:val="003A21E3"/>
    <w:rsid w:val="003A33C8"/>
    <w:rsid w:val="003A42FC"/>
    <w:rsid w:val="003A48A8"/>
    <w:rsid w:val="003A49E8"/>
    <w:rsid w:val="003A5112"/>
    <w:rsid w:val="003A6D47"/>
    <w:rsid w:val="003A6F94"/>
    <w:rsid w:val="003A70C5"/>
    <w:rsid w:val="003B0692"/>
    <w:rsid w:val="003B072B"/>
    <w:rsid w:val="003B07FC"/>
    <w:rsid w:val="003B0EF6"/>
    <w:rsid w:val="003B1191"/>
    <w:rsid w:val="003B2272"/>
    <w:rsid w:val="003B3BE0"/>
    <w:rsid w:val="003B4944"/>
    <w:rsid w:val="003B598E"/>
    <w:rsid w:val="003B5A80"/>
    <w:rsid w:val="003C2478"/>
    <w:rsid w:val="003C408A"/>
    <w:rsid w:val="003C5346"/>
    <w:rsid w:val="003C5803"/>
    <w:rsid w:val="003C5B39"/>
    <w:rsid w:val="003C5DCF"/>
    <w:rsid w:val="003C612A"/>
    <w:rsid w:val="003C6A2E"/>
    <w:rsid w:val="003C74AB"/>
    <w:rsid w:val="003D01E3"/>
    <w:rsid w:val="003D0CD2"/>
    <w:rsid w:val="003D1429"/>
    <w:rsid w:val="003D16D1"/>
    <w:rsid w:val="003D2729"/>
    <w:rsid w:val="003D2810"/>
    <w:rsid w:val="003D287D"/>
    <w:rsid w:val="003D5E8B"/>
    <w:rsid w:val="003D7CCA"/>
    <w:rsid w:val="003E01DF"/>
    <w:rsid w:val="003E0447"/>
    <w:rsid w:val="003E2201"/>
    <w:rsid w:val="003E2CD6"/>
    <w:rsid w:val="003E2D04"/>
    <w:rsid w:val="003E38FB"/>
    <w:rsid w:val="003E3958"/>
    <w:rsid w:val="003E66E1"/>
    <w:rsid w:val="003E73E1"/>
    <w:rsid w:val="003E7B34"/>
    <w:rsid w:val="003F003B"/>
    <w:rsid w:val="003F04CB"/>
    <w:rsid w:val="003F074D"/>
    <w:rsid w:val="003F349E"/>
    <w:rsid w:val="003F48CC"/>
    <w:rsid w:val="003F65CC"/>
    <w:rsid w:val="003F69AD"/>
    <w:rsid w:val="003F74B9"/>
    <w:rsid w:val="003F7C15"/>
    <w:rsid w:val="004002AE"/>
    <w:rsid w:val="00401159"/>
    <w:rsid w:val="00401A9B"/>
    <w:rsid w:val="0040253B"/>
    <w:rsid w:val="00402936"/>
    <w:rsid w:val="004034EE"/>
    <w:rsid w:val="00404164"/>
    <w:rsid w:val="00404D42"/>
    <w:rsid w:val="00405E0E"/>
    <w:rsid w:val="00406EC5"/>
    <w:rsid w:val="00407D13"/>
    <w:rsid w:val="00407D81"/>
    <w:rsid w:val="004106A2"/>
    <w:rsid w:val="00410CF0"/>
    <w:rsid w:val="004114B7"/>
    <w:rsid w:val="00411E1F"/>
    <w:rsid w:val="00411E32"/>
    <w:rsid w:val="004137EA"/>
    <w:rsid w:val="00414031"/>
    <w:rsid w:val="004142E9"/>
    <w:rsid w:val="004143EA"/>
    <w:rsid w:val="00415859"/>
    <w:rsid w:val="00416B96"/>
    <w:rsid w:val="00417655"/>
    <w:rsid w:val="00421364"/>
    <w:rsid w:val="00421657"/>
    <w:rsid w:val="0042170E"/>
    <w:rsid w:val="004232A5"/>
    <w:rsid w:val="00424FC5"/>
    <w:rsid w:val="004301DA"/>
    <w:rsid w:val="00430DA3"/>
    <w:rsid w:val="00431879"/>
    <w:rsid w:val="00431DBE"/>
    <w:rsid w:val="00432173"/>
    <w:rsid w:val="00434A8B"/>
    <w:rsid w:val="00434DB5"/>
    <w:rsid w:val="0043515E"/>
    <w:rsid w:val="00435EEF"/>
    <w:rsid w:val="00436163"/>
    <w:rsid w:val="004376CF"/>
    <w:rsid w:val="0044140E"/>
    <w:rsid w:val="00441E67"/>
    <w:rsid w:val="0044217C"/>
    <w:rsid w:val="004448C8"/>
    <w:rsid w:val="004449F4"/>
    <w:rsid w:val="00444C14"/>
    <w:rsid w:val="00445E17"/>
    <w:rsid w:val="004461B8"/>
    <w:rsid w:val="0045058D"/>
    <w:rsid w:val="004508C2"/>
    <w:rsid w:val="00450EE7"/>
    <w:rsid w:val="00452AE6"/>
    <w:rsid w:val="00453603"/>
    <w:rsid w:val="00453CF1"/>
    <w:rsid w:val="004566F3"/>
    <w:rsid w:val="00456D11"/>
    <w:rsid w:val="00460A68"/>
    <w:rsid w:val="00461271"/>
    <w:rsid w:val="00462CF6"/>
    <w:rsid w:val="00463000"/>
    <w:rsid w:val="0046408A"/>
    <w:rsid w:val="00465FA3"/>
    <w:rsid w:val="00466225"/>
    <w:rsid w:val="00470DE6"/>
    <w:rsid w:val="00471014"/>
    <w:rsid w:val="00471B9B"/>
    <w:rsid w:val="004722E2"/>
    <w:rsid w:val="004731A1"/>
    <w:rsid w:val="00473492"/>
    <w:rsid w:val="00475CCE"/>
    <w:rsid w:val="00475E64"/>
    <w:rsid w:val="00477098"/>
    <w:rsid w:val="004774AF"/>
    <w:rsid w:val="0048025B"/>
    <w:rsid w:val="00480A78"/>
    <w:rsid w:val="00482000"/>
    <w:rsid w:val="004823B4"/>
    <w:rsid w:val="00482507"/>
    <w:rsid w:val="004829FF"/>
    <w:rsid w:val="00485879"/>
    <w:rsid w:val="00487062"/>
    <w:rsid w:val="004874D6"/>
    <w:rsid w:val="004878D6"/>
    <w:rsid w:val="00487E48"/>
    <w:rsid w:val="00487FA1"/>
    <w:rsid w:val="004926D8"/>
    <w:rsid w:val="00492C9F"/>
    <w:rsid w:val="00494FED"/>
    <w:rsid w:val="0049556B"/>
    <w:rsid w:val="00496C23"/>
    <w:rsid w:val="004970D5"/>
    <w:rsid w:val="004A0FB7"/>
    <w:rsid w:val="004A16F2"/>
    <w:rsid w:val="004A2795"/>
    <w:rsid w:val="004A4106"/>
    <w:rsid w:val="004A52FC"/>
    <w:rsid w:val="004B0026"/>
    <w:rsid w:val="004B04B9"/>
    <w:rsid w:val="004B1DB4"/>
    <w:rsid w:val="004B4252"/>
    <w:rsid w:val="004B4D27"/>
    <w:rsid w:val="004B4E48"/>
    <w:rsid w:val="004B63B9"/>
    <w:rsid w:val="004B672A"/>
    <w:rsid w:val="004B77B3"/>
    <w:rsid w:val="004B7FA3"/>
    <w:rsid w:val="004C035B"/>
    <w:rsid w:val="004C1863"/>
    <w:rsid w:val="004C19FC"/>
    <w:rsid w:val="004C1DFE"/>
    <w:rsid w:val="004C3AB1"/>
    <w:rsid w:val="004C3F80"/>
    <w:rsid w:val="004C451A"/>
    <w:rsid w:val="004C55AC"/>
    <w:rsid w:val="004C5740"/>
    <w:rsid w:val="004C5971"/>
    <w:rsid w:val="004C65DC"/>
    <w:rsid w:val="004C79BA"/>
    <w:rsid w:val="004D09D0"/>
    <w:rsid w:val="004D18E5"/>
    <w:rsid w:val="004D2367"/>
    <w:rsid w:val="004D2547"/>
    <w:rsid w:val="004D26E8"/>
    <w:rsid w:val="004D2849"/>
    <w:rsid w:val="004D38DA"/>
    <w:rsid w:val="004D396B"/>
    <w:rsid w:val="004D44BE"/>
    <w:rsid w:val="004D4E5B"/>
    <w:rsid w:val="004D7420"/>
    <w:rsid w:val="004E143F"/>
    <w:rsid w:val="004E1B5A"/>
    <w:rsid w:val="004E39C6"/>
    <w:rsid w:val="004E47BC"/>
    <w:rsid w:val="004E50C2"/>
    <w:rsid w:val="004E60E1"/>
    <w:rsid w:val="004F06B4"/>
    <w:rsid w:val="004F2315"/>
    <w:rsid w:val="004F435A"/>
    <w:rsid w:val="004F5171"/>
    <w:rsid w:val="004F5270"/>
    <w:rsid w:val="004F66DD"/>
    <w:rsid w:val="00500F83"/>
    <w:rsid w:val="00502A96"/>
    <w:rsid w:val="00503F3F"/>
    <w:rsid w:val="005054C1"/>
    <w:rsid w:val="0050730D"/>
    <w:rsid w:val="00507A70"/>
    <w:rsid w:val="00507F67"/>
    <w:rsid w:val="0051222A"/>
    <w:rsid w:val="005146DA"/>
    <w:rsid w:val="005152EA"/>
    <w:rsid w:val="00515A9D"/>
    <w:rsid w:val="0051611C"/>
    <w:rsid w:val="00517139"/>
    <w:rsid w:val="00517C54"/>
    <w:rsid w:val="00523EC9"/>
    <w:rsid w:val="00526503"/>
    <w:rsid w:val="00526A45"/>
    <w:rsid w:val="0052773C"/>
    <w:rsid w:val="00527766"/>
    <w:rsid w:val="00527DBE"/>
    <w:rsid w:val="0053019A"/>
    <w:rsid w:val="00530EAD"/>
    <w:rsid w:val="005347B9"/>
    <w:rsid w:val="00535227"/>
    <w:rsid w:val="005353A2"/>
    <w:rsid w:val="00535623"/>
    <w:rsid w:val="00535BE3"/>
    <w:rsid w:val="005361A5"/>
    <w:rsid w:val="00537031"/>
    <w:rsid w:val="00537706"/>
    <w:rsid w:val="0054005E"/>
    <w:rsid w:val="00540348"/>
    <w:rsid w:val="00540F72"/>
    <w:rsid w:val="005413F8"/>
    <w:rsid w:val="0054182C"/>
    <w:rsid w:val="005422BF"/>
    <w:rsid w:val="00542486"/>
    <w:rsid w:val="00543AE5"/>
    <w:rsid w:val="00543DF5"/>
    <w:rsid w:val="00543F5C"/>
    <w:rsid w:val="005449AD"/>
    <w:rsid w:val="00544EC8"/>
    <w:rsid w:val="00545548"/>
    <w:rsid w:val="00546976"/>
    <w:rsid w:val="00547836"/>
    <w:rsid w:val="00550912"/>
    <w:rsid w:val="005513E2"/>
    <w:rsid w:val="00552DC7"/>
    <w:rsid w:val="00555BA3"/>
    <w:rsid w:val="00555D52"/>
    <w:rsid w:val="00555F4F"/>
    <w:rsid w:val="00556932"/>
    <w:rsid w:val="00557181"/>
    <w:rsid w:val="00560852"/>
    <w:rsid w:val="00560EFE"/>
    <w:rsid w:val="00561CD4"/>
    <w:rsid w:val="005621BD"/>
    <w:rsid w:val="005622C6"/>
    <w:rsid w:val="00562EF7"/>
    <w:rsid w:val="00563824"/>
    <w:rsid w:val="005646BC"/>
    <w:rsid w:val="005646D9"/>
    <w:rsid w:val="00564AE9"/>
    <w:rsid w:val="005657AC"/>
    <w:rsid w:val="0056769A"/>
    <w:rsid w:val="00567A30"/>
    <w:rsid w:val="00567CA9"/>
    <w:rsid w:val="00570072"/>
    <w:rsid w:val="005709F7"/>
    <w:rsid w:val="00570A59"/>
    <w:rsid w:val="00571694"/>
    <w:rsid w:val="00572F51"/>
    <w:rsid w:val="0057358B"/>
    <w:rsid w:val="005736ED"/>
    <w:rsid w:val="005742BE"/>
    <w:rsid w:val="0057481D"/>
    <w:rsid w:val="005802BF"/>
    <w:rsid w:val="00580307"/>
    <w:rsid w:val="005819F8"/>
    <w:rsid w:val="005825B1"/>
    <w:rsid w:val="00583AC1"/>
    <w:rsid w:val="00583E12"/>
    <w:rsid w:val="00585536"/>
    <w:rsid w:val="00586DAC"/>
    <w:rsid w:val="005901F3"/>
    <w:rsid w:val="005905CA"/>
    <w:rsid w:val="005907CC"/>
    <w:rsid w:val="00592473"/>
    <w:rsid w:val="0059271E"/>
    <w:rsid w:val="00593F1E"/>
    <w:rsid w:val="00595AF5"/>
    <w:rsid w:val="00596A46"/>
    <w:rsid w:val="00596D29"/>
    <w:rsid w:val="005976DA"/>
    <w:rsid w:val="005976F4"/>
    <w:rsid w:val="005A10C2"/>
    <w:rsid w:val="005A36DF"/>
    <w:rsid w:val="005A390F"/>
    <w:rsid w:val="005A48E1"/>
    <w:rsid w:val="005A7571"/>
    <w:rsid w:val="005A7F52"/>
    <w:rsid w:val="005B04A7"/>
    <w:rsid w:val="005B0DB1"/>
    <w:rsid w:val="005B2507"/>
    <w:rsid w:val="005B2619"/>
    <w:rsid w:val="005B29F7"/>
    <w:rsid w:val="005B40F1"/>
    <w:rsid w:val="005B440D"/>
    <w:rsid w:val="005B45A7"/>
    <w:rsid w:val="005B5E5B"/>
    <w:rsid w:val="005B6997"/>
    <w:rsid w:val="005B7FB8"/>
    <w:rsid w:val="005C1303"/>
    <w:rsid w:val="005C26FF"/>
    <w:rsid w:val="005C2798"/>
    <w:rsid w:val="005C28A4"/>
    <w:rsid w:val="005C2F1B"/>
    <w:rsid w:val="005C484D"/>
    <w:rsid w:val="005C4997"/>
    <w:rsid w:val="005C4F64"/>
    <w:rsid w:val="005C6C85"/>
    <w:rsid w:val="005C75C1"/>
    <w:rsid w:val="005C7DB8"/>
    <w:rsid w:val="005D0793"/>
    <w:rsid w:val="005D0F3B"/>
    <w:rsid w:val="005D1882"/>
    <w:rsid w:val="005D3892"/>
    <w:rsid w:val="005D39DD"/>
    <w:rsid w:val="005D3E6D"/>
    <w:rsid w:val="005D400A"/>
    <w:rsid w:val="005D45CC"/>
    <w:rsid w:val="005D582D"/>
    <w:rsid w:val="005D6D1D"/>
    <w:rsid w:val="005E0A78"/>
    <w:rsid w:val="005E188B"/>
    <w:rsid w:val="005E2971"/>
    <w:rsid w:val="005E3718"/>
    <w:rsid w:val="005E39D8"/>
    <w:rsid w:val="005E5A1D"/>
    <w:rsid w:val="005E5B34"/>
    <w:rsid w:val="005E6772"/>
    <w:rsid w:val="005E6F8B"/>
    <w:rsid w:val="005E78CC"/>
    <w:rsid w:val="005E79EB"/>
    <w:rsid w:val="005F063D"/>
    <w:rsid w:val="005F06DC"/>
    <w:rsid w:val="005F0C83"/>
    <w:rsid w:val="005F0E33"/>
    <w:rsid w:val="005F0EFB"/>
    <w:rsid w:val="005F18C6"/>
    <w:rsid w:val="005F1D64"/>
    <w:rsid w:val="005F2807"/>
    <w:rsid w:val="005F2A1F"/>
    <w:rsid w:val="005F4BD7"/>
    <w:rsid w:val="005F532A"/>
    <w:rsid w:val="005F5471"/>
    <w:rsid w:val="005F6530"/>
    <w:rsid w:val="00600E13"/>
    <w:rsid w:val="0060186E"/>
    <w:rsid w:val="00601932"/>
    <w:rsid w:val="00603012"/>
    <w:rsid w:val="006035F6"/>
    <w:rsid w:val="0060378E"/>
    <w:rsid w:val="00603BBE"/>
    <w:rsid w:val="00606834"/>
    <w:rsid w:val="00606CD0"/>
    <w:rsid w:val="006076EE"/>
    <w:rsid w:val="00607EA1"/>
    <w:rsid w:val="00610993"/>
    <w:rsid w:val="00611C33"/>
    <w:rsid w:val="00612AF1"/>
    <w:rsid w:val="006138A1"/>
    <w:rsid w:val="0061397F"/>
    <w:rsid w:val="006147D0"/>
    <w:rsid w:val="00616116"/>
    <w:rsid w:val="00617C0F"/>
    <w:rsid w:val="00617C1B"/>
    <w:rsid w:val="00617DA6"/>
    <w:rsid w:val="0062000C"/>
    <w:rsid w:val="006207B6"/>
    <w:rsid w:val="00620977"/>
    <w:rsid w:val="00622B16"/>
    <w:rsid w:val="00624099"/>
    <w:rsid w:val="006245EE"/>
    <w:rsid w:val="00624882"/>
    <w:rsid w:val="00624BA3"/>
    <w:rsid w:val="0062573C"/>
    <w:rsid w:val="00625F9B"/>
    <w:rsid w:val="00626980"/>
    <w:rsid w:val="00627DFD"/>
    <w:rsid w:val="006314BE"/>
    <w:rsid w:val="00631C30"/>
    <w:rsid w:val="00632C09"/>
    <w:rsid w:val="00634A33"/>
    <w:rsid w:val="00634B92"/>
    <w:rsid w:val="006358C8"/>
    <w:rsid w:val="00635C3F"/>
    <w:rsid w:val="00636D73"/>
    <w:rsid w:val="00637CA1"/>
    <w:rsid w:val="00642198"/>
    <w:rsid w:val="00643242"/>
    <w:rsid w:val="00643C5E"/>
    <w:rsid w:val="006461E1"/>
    <w:rsid w:val="00646786"/>
    <w:rsid w:val="00647434"/>
    <w:rsid w:val="006478B1"/>
    <w:rsid w:val="00647DF0"/>
    <w:rsid w:val="006507C7"/>
    <w:rsid w:val="00650CAE"/>
    <w:rsid w:val="00651937"/>
    <w:rsid w:val="00651954"/>
    <w:rsid w:val="0065271D"/>
    <w:rsid w:val="00653DD8"/>
    <w:rsid w:val="00653FCE"/>
    <w:rsid w:val="006574AD"/>
    <w:rsid w:val="006605F2"/>
    <w:rsid w:val="00660DF9"/>
    <w:rsid w:val="006620B3"/>
    <w:rsid w:val="006621CA"/>
    <w:rsid w:val="006622F8"/>
    <w:rsid w:val="00662F11"/>
    <w:rsid w:val="0066417A"/>
    <w:rsid w:val="00666D64"/>
    <w:rsid w:val="0067099B"/>
    <w:rsid w:val="00670B42"/>
    <w:rsid w:val="006731AB"/>
    <w:rsid w:val="006734FC"/>
    <w:rsid w:val="00673574"/>
    <w:rsid w:val="006735A6"/>
    <w:rsid w:val="00673E4B"/>
    <w:rsid w:val="00673E6B"/>
    <w:rsid w:val="006758E3"/>
    <w:rsid w:val="0068110D"/>
    <w:rsid w:val="006812D5"/>
    <w:rsid w:val="00681E8B"/>
    <w:rsid w:val="00681ED2"/>
    <w:rsid w:val="00682A3D"/>
    <w:rsid w:val="00682D38"/>
    <w:rsid w:val="00685C48"/>
    <w:rsid w:val="00687BEA"/>
    <w:rsid w:val="00687E67"/>
    <w:rsid w:val="006916B0"/>
    <w:rsid w:val="0069217D"/>
    <w:rsid w:val="006931B4"/>
    <w:rsid w:val="00693EB3"/>
    <w:rsid w:val="006940C2"/>
    <w:rsid w:val="006967D0"/>
    <w:rsid w:val="00696C00"/>
    <w:rsid w:val="00697728"/>
    <w:rsid w:val="00697800"/>
    <w:rsid w:val="006A01DC"/>
    <w:rsid w:val="006A1492"/>
    <w:rsid w:val="006A32D4"/>
    <w:rsid w:val="006A3C65"/>
    <w:rsid w:val="006A4090"/>
    <w:rsid w:val="006A4C4B"/>
    <w:rsid w:val="006A5380"/>
    <w:rsid w:val="006A5AD2"/>
    <w:rsid w:val="006B2043"/>
    <w:rsid w:val="006B3052"/>
    <w:rsid w:val="006B486A"/>
    <w:rsid w:val="006B4D59"/>
    <w:rsid w:val="006B5B70"/>
    <w:rsid w:val="006B721A"/>
    <w:rsid w:val="006B733B"/>
    <w:rsid w:val="006B7372"/>
    <w:rsid w:val="006B7DD6"/>
    <w:rsid w:val="006C1A5F"/>
    <w:rsid w:val="006C1F57"/>
    <w:rsid w:val="006C3576"/>
    <w:rsid w:val="006C3863"/>
    <w:rsid w:val="006C3A91"/>
    <w:rsid w:val="006C4A48"/>
    <w:rsid w:val="006C51B6"/>
    <w:rsid w:val="006C5A0C"/>
    <w:rsid w:val="006C6275"/>
    <w:rsid w:val="006C68A4"/>
    <w:rsid w:val="006C7090"/>
    <w:rsid w:val="006C7B35"/>
    <w:rsid w:val="006D1788"/>
    <w:rsid w:val="006D2715"/>
    <w:rsid w:val="006D2744"/>
    <w:rsid w:val="006D33FF"/>
    <w:rsid w:val="006D611A"/>
    <w:rsid w:val="006D7419"/>
    <w:rsid w:val="006D74C2"/>
    <w:rsid w:val="006D7893"/>
    <w:rsid w:val="006D7C65"/>
    <w:rsid w:val="006E00E1"/>
    <w:rsid w:val="006E0116"/>
    <w:rsid w:val="006E12A3"/>
    <w:rsid w:val="006E206A"/>
    <w:rsid w:val="006E32EC"/>
    <w:rsid w:val="006E448E"/>
    <w:rsid w:val="006E4A4B"/>
    <w:rsid w:val="006E5206"/>
    <w:rsid w:val="006E56E4"/>
    <w:rsid w:val="006E67E6"/>
    <w:rsid w:val="006F31C9"/>
    <w:rsid w:val="006F34FF"/>
    <w:rsid w:val="006F3726"/>
    <w:rsid w:val="006F4027"/>
    <w:rsid w:val="006F5F81"/>
    <w:rsid w:val="006F60C8"/>
    <w:rsid w:val="006F774B"/>
    <w:rsid w:val="00700189"/>
    <w:rsid w:val="00700B71"/>
    <w:rsid w:val="0070200F"/>
    <w:rsid w:val="00703C3C"/>
    <w:rsid w:val="00703FE5"/>
    <w:rsid w:val="00703FFA"/>
    <w:rsid w:val="007043E3"/>
    <w:rsid w:val="007048B3"/>
    <w:rsid w:val="00704C4F"/>
    <w:rsid w:val="0070523E"/>
    <w:rsid w:val="007053AB"/>
    <w:rsid w:val="00705585"/>
    <w:rsid w:val="00705E00"/>
    <w:rsid w:val="00706208"/>
    <w:rsid w:val="007065A7"/>
    <w:rsid w:val="007065DD"/>
    <w:rsid w:val="00707BE0"/>
    <w:rsid w:val="00710EFF"/>
    <w:rsid w:val="0071186E"/>
    <w:rsid w:val="007118CA"/>
    <w:rsid w:val="00714F62"/>
    <w:rsid w:val="007155D2"/>
    <w:rsid w:val="00716287"/>
    <w:rsid w:val="00720ACD"/>
    <w:rsid w:val="007240C3"/>
    <w:rsid w:val="007240D7"/>
    <w:rsid w:val="00724A9B"/>
    <w:rsid w:val="00724D3F"/>
    <w:rsid w:val="00725206"/>
    <w:rsid w:val="007259FB"/>
    <w:rsid w:val="00726C15"/>
    <w:rsid w:val="007272E9"/>
    <w:rsid w:val="0072772C"/>
    <w:rsid w:val="00730F9B"/>
    <w:rsid w:val="007312DC"/>
    <w:rsid w:val="00732771"/>
    <w:rsid w:val="00732865"/>
    <w:rsid w:val="00733C0C"/>
    <w:rsid w:val="00733D6A"/>
    <w:rsid w:val="0074006B"/>
    <w:rsid w:val="00740D81"/>
    <w:rsid w:val="00742A2F"/>
    <w:rsid w:val="00743320"/>
    <w:rsid w:val="00745E17"/>
    <w:rsid w:val="00747A5F"/>
    <w:rsid w:val="0075062B"/>
    <w:rsid w:val="00751794"/>
    <w:rsid w:val="00751F72"/>
    <w:rsid w:val="00752D81"/>
    <w:rsid w:val="00752E9E"/>
    <w:rsid w:val="00753D20"/>
    <w:rsid w:val="00754254"/>
    <w:rsid w:val="00754A4C"/>
    <w:rsid w:val="00755436"/>
    <w:rsid w:val="00757306"/>
    <w:rsid w:val="00760029"/>
    <w:rsid w:val="00761EA5"/>
    <w:rsid w:val="00763DF6"/>
    <w:rsid w:val="00764FDD"/>
    <w:rsid w:val="0076511A"/>
    <w:rsid w:val="00765F43"/>
    <w:rsid w:val="0076697E"/>
    <w:rsid w:val="00767092"/>
    <w:rsid w:val="007739E7"/>
    <w:rsid w:val="00773D7D"/>
    <w:rsid w:val="0077422C"/>
    <w:rsid w:val="00776DD9"/>
    <w:rsid w:val="007775D8"/>
    <w:rsid w:val="007775F5"/>
    <w:rsid w:val="0077777D"/>
    <w:rsid w:val="00780151"/>
    <w:rsid w:val="00781913"/>
    <w:rsid w:val="00781F01"/>
    <w:rsid w:val="007864F7"/>
    <w:rsid w:val="0078651B"/>
    <w:rsid w:val="00786933"/>
    <w:rsid w:val="0078700D"/>
    <w:rsid w:val="00787A64"/>
    <w:rsid w:val="00787ED0"/>
    <w:rsid w:val="00790E17"/>
    <w:rsid w:val="00791121"/>
    <w:rsid w:val="00791BA1"/>
    <w:rsid w:val="007925CD"/>
    <w:rsid w:val="0079276F"/>
    <w:rsid w:val="00793B15"/>
    <w:rsid w:val="00793F57"/>
    <w:rsid w:val="00794854"/>
    <w:rsid w:val="00794A37"/>
    <w:rsid w:val="00795B8F"/>
    <w:rsid w:val="00795F33"/>
    <w:rsid w:val="00796BAB"/>
    <w:rsid w:val="00796D03"/>
    <w:rsid w:val="00796DC2"/>
    <w:rsid w:val="00797302"/>
    <w:rsid w:val="00797F39"/>
    <w:rsid w:val="00797FEE"/>
    <w:rsid w:val="007A514E"/>
    <w:rsid w:val="007A58EF"/>
    <w:rsid w:val="007A619B"/>
    <w:rsid w:val="007A624F"/>
    <w:rsid w:val="007B008E"/>
    <w:rsid w:val="007B031E"/>
    <w:rsid w:val="007B0C79"/>
    <w:rsid w:val="007B0D48"/>
    <w:rsid w:val="007B0F9D"/>
    <w:rsid w:val="007B1190"/>
    <w:rsid w:val="007B1815"/>
    <w:rsid w:val="007B1D07"/>
    <w:rsid w:val="007B1FFC"/>
    <w:rsid w:val="007B2839"/>
    <w:rsid w:val="007B2CBC"/>
    <w:rsid w:val="007B443F"/>
    <w:rsid w:val="007B52AC"/>
    <w:rsid w:val="007B5F49"/>
    <w:rsid w:val="007B608D"/>
    <w:rsid w:val="007B7170"/>
    <w:rsid w:val="007B7617"/>
    <w:rsid w:val="007C03D7"/>
    <w:rsid w:val="007C10F4"/>
    <w:rsid w:val="007C17FA"/>
    <w:rsid w:val="007C187E"/>
    <w:rsid w:val="007C1A7E"/>
    <w:rsid w:val="007C1EFB"/>
    <w:rsid w:val="007C2E16"/>
    <w:rsid w:val="007C3E14"/>
    <w:rsid w:val="007C47A8"/>
    <w:rsid w:val="007C4C11"/>
    <w:rsid w:val="007C5C71"/>
    <w:rsid w:val="007C6725"/>
    <w:rsid w:val="007D17F4"/>
    <w:rsid w:val="007D3B16"/>
    <w:rsid w:val="007D485A"/>
    <w:rsid w:val="007D4A5C"/>
    <w:rsid w:val="007D4C38"/>
    <w:rsid w:val="007D70EE"/>
    <w:rsid w:val="007E33A2"/>
    <w:rsid w:val="007E3C28"/>
    <w:rsid w:val="007E3F2C"/>
    <w:rsid w:val="007E52A9"/>
    <w:rsid w:val="007E579D"/>
    <w:rsid w:val="007E6C0D"/>
    <w:rsid w:val="007E7B2E"/>
    <w:rsid w:val="007F044A"/>
    <w:rsid w:val="007F1604"/>
    <w:rsid w:val="007F1E9A"/>
    <w:rsid w:val="007F3DDD"/>
    <w:rsid w:val="007F3F23"/>
    <w:rsid w:val="007F5C1A"/>
    <w:rsid w:val="00800BC2"/>
    <w:rsid w:val="008037CA"/>
    <w:rsid w:val="00803CD2"/>
    <w:rsid w:val="008048BD"/>
    <w:rsid w:val="00805C4C"/>
    <w:rsid w:val="00806822"/>
    <w:rsid w:val="00806B3D"/>
    <w:rsid w:val="00810B86"/>
    <w:rsid w:val="00810C47"/>
    <w:rsid w:val="00811024"/>
    <w:rsid w:val="0081117E"/>
    <w:rsid w:val="00811A76"/>
    <w:rsid w:val="00811ABE"/>
    <w:rsid w:val="00811BE0"/>
    <w:rsid w:val="00812AD7"/>
    <w:rsid w:val="00812D0C"/>
    <w:rsid w:val="0081341B"/>
    <w:rsid w:val="00813B32"/>
    <w:rsid w:val="00814444"/>
    <w:rsid w:val="00815AFE"/>
    <w:rsid w:val="00817622"/>
    <w:rsid w:val="0082112E"/>
    <w:rsid w:val="008232E5"/>
    <w:rsid w:val="008235AF"/>
    <w:rsid w:val="00823688"/>
    <w:rsid w:val="00823F09"/>
    <w:rsid w:val="0082503A"/>
    <w:rsid w:val="00825969"/>
    <w:rsid w:val="00825AC6"/>
    <w:rsid w:val="008264DD"/>
    <w:rsid w:val="00826F7E"/>
    <w:rsid w:val="00826FA0"/>
    <w:rsid w:val="0083165D"/>
    <w:rsid w:val="0083302B"/>
    <w:rsid w:val="00835F61"/>
    <w:rsid w:val="008378C2"/>
    <w:rsid w:val="00837AB4"/>
    <w:rsid w:val="008416D5"/>
    <w:rsid w:val="00841B0D"/>
    <w:rsid w:val="00841EB4"/>
    <w:rsid w:val="008429A2"/>
    <w:rsid w:val="00843561"/>
    <w:rsid w:val="0084452F"/>
    <w:rsid w:val="00845FEE"/>
    <w:rsid w:val="00846588"/>
    <w:rsid w:val="008465B8"/>
    <w:rsid w:val="00847752"/>
    <w:rsid w:val="0084799A"/>
    <w:rsid w:val="00847AEB"/>
    <w:rsid w:val="008505AB"/>
    <w:rsid w:val="00850995"/>
    <w:rsid w:val="00852023"/>
    <w:rsid w:val="00852B9F"/>
    <w:rsid w:val="00852DA0"/>
    <w:rsid w:val="00856DD3"/>
    <w:rsid w:val="0085771F"/>
    <w:rsid w:val="0085774C"/>
    <w:rsid w:val="00857FF9"/>
    <w:rsid w:val="00860699"/>
    <w:rsid w:val="00860B3C"/>
    <w:rsid w:val="00861BFF"/>
    <w:rsid w:val="00861E46"/>
    <w:rsid w:val="00861E9B"/>
    <w:rsid w:val="00861EA6"/>
    <w:rsid w:val="00862449"/>
    <w:rsid w:val="008624E3"/>
    <w:rsid w:val="008629A6"/>
    <w:rsid w:val="0086427C"/>
    <w:rsid w:val="00865AA7"/>
    <w:rsid w:val="008661D5"/>
    <w:rsid w:val="008706BD"/>
    <w:rsid w:val="00870E78"/>
    <w:rsid w:val="00871AFB"/>
    <w:rsid w:val="00871D91"/>
    <w:rsid w:val="008723C9"/>
    <w:rsid w:val="00872D68"/>
    <w:rsid w:val="0087376D"/>
    <w:rsid w:val="00873A6E"/>
    <w:rsid w:val="00875CFC"/>
    <w:rsid w:val="00876A03"/>
    <w:rsid w:val="0088175A"/>
    <w:rsid w:val="00882494"/>
    <w:rsid w:val="00883D64"/>
    <w:rsid w:val="00884D9D"/>
    <w:rsid w:val="00884E59"/>
    <w:rsid w:val="008856EF"/>
    <w:rsid w:val="0088660B"/>
    <w:rsid w:val="0089442A"/>
    <w:rsid w:val="00894A2B"/>
    <w:rsid w:val="008977C4"/>
    <w:rsid w:val="008A03BA"/>
    <w:rsid w:val="008A13C8"/>
    <w:rsid w:val="008A1FBF"/>
    <w:rsid w:val="008A2B46"/>
    <w:rsid w:val="008A4C13"/>
    <w:rsid w:val="008A7439"/>
    <w:rsid w:val="008A74AE"/>
    <w:rsid w:val="008B0C3B"/>
    <w:rsid w:val="008B0E50"/>
    <w:rsid w:val="008B1A41"/>
    <w:rsid w:val="008B2864"/>
    <w:rsid w:val="008B2A07"/>
    <w:rsid w:val="008B2E38"/>
    <w:rsid w:val="008B2FE8"/>
    <w:rsid w:val="008B32AD"/>
    <w:rsid w:val="008B585F"/>
    <w:rsid w:val="008B694E"/>
    <w:rsid w:val="008B7EFA"/>
    <w:rsid w:val="008C0CA9"/>
    <w:rsid w:val="008C17BF"/>
    <w:rsid w:val="008C24F0"/>
    <w:rsid w:val="008C25EC"/>
    <w:rsid w:val="008C333D"/>
    <w:rsid w:val="008C4452"/>
    <w:rsid w:val="008C45D3"/>
    <w:rsid w:val="008C531A"/>
    <w:rsid w:val="008C5A28"/>
    <w:rsid w:val="008D04CD"/>
    <w:rsid w:val="008D07A5"/>
    <w:rsid w:val="008D0D3F"/>
    <w:rsid w:val="008D1A24"/>
    <w:rsid w:val="008D2640"/>
    <w:rsid w:val="008D2B2E"/>
    <w:rsid w:val="008D45F8"/>
    <w:rsid w:val="008D51D6"/>
    <w:rsid w:val="008D58A9"/>
    <w:rsid w:val="008D5981"/>
    <w:rsid w:val="008D5A7E"/>
    <w:rsid w:val="008D6A0F"/>
    <w:rsid w:val="008D75B4"/>
    <w:rsid w:val="008E1B46"/>
    <w:rsid w:val="008E2547"/>
    <w:rsid w:val="008E352A"/>
    <w:rsid w:val="008E3D4C"/>
    <w:rsid w:val="008E4017"/>
    <w:rsid w:val="008E405E"/>
    <w:rsid w:val="008E526F"/>
    <w:rsid w:val="008E5670"/>
    <w:rsid w:val="008E60D5"/>
    <w:rsid w:val="008E6138"/>
    <w:rsid w:val="008F04BE"/>
    <w:rsid w:val="008F0DEB"/>
    <w:rsid w:val="008F1CB0"/>
    <w:rsid w:val="008F1FCE"/>
    <w:rsid w:val="008F253F"/>
    <w:rsid w:val="008F3A32"/>
    <w:rsid w:val="008F5669"/>
    <w:rsid w:val="008F6958"/>
    <w:rsid w:val="008F6C61"/>
    <w:rsid w:val="008F71EC"/>
    <w:rsid w:val="008F7E10"/>
    <w:rsid w:val="00900F82"/>
    <w:rsid w:val="009027F1"/>
    <w:rsid w:val="00903DAF"/>
    <w:rsid w:val="009045B7"/>
    <w:rsid w:val="009049FC"/>
    <w:rsid w:val="00904F9E"/>
    <w:rsid w:val="0090574C"/>
    <w:rsid w:val="00906570"/>
    <w:rsid w:val="009100E1"/>
    <w:rsid w:val="00910A6D"/>
    <w:rsid w:val="00910CFA"/>
    <w:rsid w:val="00911185"/>
    <w:rsid w:val="009122E5"/>
    <w:rsid w:val="009127FD"/>
    <w:rsid w:val="009136DA"/>
    <w:rsid w:val="00913EE7"/>
    <w:rsid w:val="00914521"/>
    <w:rsid w:val="00916D5A"/>
    <w:rsid w:val="00920FCF"/>
    <w:rsid w:val="0092103F"/>
    <w:rsid w:val="00922922"/>
    <w:rsid w:val="0092299C"/>
    <w:rsid w:val="00923212"/>
    <w:rsid w:val="00923311"/>
    <w:rsid w:val="00923DE8"/>
    <w:rsid w:val="00924699"/>
    <w:rsid w:val="00925190"/>
    <w:rsid w:val="00926C39"/>
    <w:rsid w:val="009278D2"/>
    <w:rsid w:val="0093025B"/>
    <w:rsid w:val="0093091C"/>
    <w:rsid w:val="00930A7E"/>
    <w:rsid w:val="009339D3"/>
    <w:rsid w:val="009348F9"/>
    <w:rsid w:val="00935644"/>
    <w:rsid w:val="009359AA"/>
    <w:rsid w:val="009359C6"/>
    <w:rsid w:val="009400DD"/>
    <w:rsid w:val="00940834"/>
    <w:rsid w:val="00942B77"/>
    <w:rsid w:val="00945A13"/>
    <w:rsid w:val="00945BB9"/>
    <w:rsid w:val="00947056"/>
    <w:rsid w:val="00947C70"/>
    <w:rsid w:val="00952655"/>
    <w:rsid w:val="00952E6D"/>
    <w:rsid w:val="00952E99"/>
    <w:rsid w:val="009534CF"/>
    <w:rsid w:val="00953C55"/>
    <w:rsid w:val="0095594C"/>
    <w:rsid w:val="00956C68"/>
    <w:rsid w:val="00962DCC"/>
    <w:rsid w:val="0096328D"/>
    <w:rsid w:val="00963DEC"/>
    <w:rsid w:val="00964329"/>
    <w:rsid w:val="00965C39"/>
    <w:rsid w:val="009668BC"/>
    <w:rsid w:val="00966ADB"/>
    <w:rsid w:val="00967DEB"/>
    <w:rsid w:val="00970690"/>
    <w:rsid w:val="009718DB"/>
    <w:rsid w:val="00971AC2"/>
    <w:rsid w:val="009738A1"/>
    <w:rsid w:val="00974339"/>
    <w:rsid w:val="009745AF"/>
    <w:rsid w:val="0097567B"/>
    <w:rsid w:val="00975A69"/>
    <w:rsid w:val="00977D59"/>
    <w:rsid w:val="00977FF8"/>
    <w:rsid w:val="00980A57"/>
    <w:rsid w:val="009810EF"/>
    <w:rsid w:val="00981993"/>
    <w:rsid w:val="00981FA7"/>
    <w:rsid w:val="0098206C"/>
    <w:rsid w:val="009825BE"/>
    <w:rsid w:val="00982AD8"/>
    <w:rsid w:val="00982EE5"/>
    <w:rsid w:val="00983122"/>
    <w:rsid w:val="009844CE"/>
    <w:rsid w:val="00984A92"/>
    <w:rsid w:val="009863BB"/>
    <w:rsid w:val="00986D1D"/>
    <w:rsid w:val="009872A9"/>
    <w:rsid w:val="0098775D"/>
    <w:rsid w:val="009903B3"/>
    <w:rsid w:val="00991657"/>
    <w:rsid w:val="0099661E"/>
    <w:rsid w:val="00996A96"/>
    <w:rsid w:val="00996F68"/>
    <w:rsid w:val="00996F86"/>
    <w:rsid w:val="00997964"/>
    <w:rsid w:val="009A0CDB"/>
    <w:rsid w:val="009A16BA"/>
    <w:rsid w:val="009A2290"/>
    <w:rsid w:val="009A3149"/>
    <w:rsid w:val="009A3E7B"/>
    <w:rsid w:val="009A48CF"/>
    <w:rsid w:val="009A5B77"/>
    <w:rsid w:val="009A6FF8"/>
    <w:rsid w:val="009A7BAD"/>
    <w:rsid w:val="009B0378"/>
    <w:rsid w:val="009B37FE"/>
    <w:rsid w:val="009B425F"/>
    <w:rsid w:val="009B479D"/>
    <w:rsid w:val="009B53A0"/>
    <w:rsid w:val="009B69DA"/>
    <w:rsid w:val="009B71CF"/>
    <w:rsid w:val="009C27A4"/>
    <w:rsid w:val="009C2B18"/>
    <w:rsid w:val="009C3E63"/>
    <w:rsid w:val="009C4855"/>
    <w:rsid w:val="009C51CD"/>
    <w:rsid w:val="009C5F04"/>
    <w:rsid w:val="009C5F71"/>
    <w:rsid w:val="009C6593"/>
    <w:rsid w:val="009C735B"/>
    <w:rsid w:val="009C7F03"/>
    <w:rsid w:val="009D04A2"/>
    <w:rsid w:val="009D204A"/>
    <w:rsid w:val="009D3281"/>
    <w:rsid w:val="009D47F9"/>
    <w:rsid w:val="009D52F5"/>
    <w:rsid w:val="009D5A3D"/>
    <w:rsid w:val="009E0259"/>
    <w:rsid w:val="009E07B3"/>
    <w:rsid w:val="009E1B91"/>
    <w:rsid w:val="009E1EB5"/>
    <w:rsid w:val="009E27D7"/>
    <w:rsid w:val="009E322C"/>
    <w:rsid w:val="009E6B82"/>
    <w:rsid w:val="009E6FC0"/>
    <w:rsid w:val="009E7F8B"/>
    <w:rsid w:val="009F0970"/>
    <w:rsid w:val="009F1F42"/>
    <w:rsid w:val="009F2512"/>
    <w:rsid w:val="009F3EB8"/>
    <w:rsid w:val="009F609D"/>
    <w:rsid w:val="00A01F1C"/>
    <w:rsid w:val="00A02744"/>
    <w:rsid w:val="00A03144"/>
    <w:rsid w:val="00A04A1C"/>
    <w:rsid w:val="00A05C8B"/>
    <w:rsid w:val="00A06032"/>
    <w:rsid w:val="00A06362"/>
    <w:rsid w:val="00A0690F"/>
    <w:rsid w:val="00A11DD8"/>
    <w:rsid w:val="00A13F82"/>
    <w:rsid w:val="00A202A9"/>
    <w:rsid w:val="00A206D2"/>
    <w:rsid w:val="00A208C2"/>
    <w:rsid w:val="00A20E3F"/>
    <w:rsid w:val="00A21E42"/>
    <w:rsid w:val="00A2208E"/>
    <w:rsid w:val="00A225C4"/>
    <w:rsid w:val="00A245BA"/>
    <w:rsid w:val="00A24E8A"/>
    <w:rsid w:val="00A2512D"/>
    <w:rsid w:val="00A26308"/>
    <w:rsid w:val="00A2661B"/>
    <w:rsid w:val="00A27A8C"/>
    <w:rsid w:val="00A30580"/>
    <w:rsid w:val="00A3099A"/>
    <w:rsid w:val="00A3148C"/>
    <w:rsid w:val="00A31C7D"/>
    <w:rsid w:val="00A32440"/>
    <w:rsid w:val="00A32C7B"/>
    <w:rsid w:val="00A35324"/>
    <w:rsid w:val="00A35C9F"/>
    <w:rsid w:val="00A36D58"/>
    <w:rsid w:val="00A3718E"/>
    <w:rsid w:val="00A37FFC"/>
    <w:rsid w:val="00A41286"/>
    <w:rsid w:val="00A4154A"/>
    <w:rsid w:val="00A42FF2"/>
    <w:rsid w:val="00A43195"/>
    <w:rsid w:val="00A43717"/>
    <w:rsid w:val="00A4473B"/>
    <w:rsid w:val="00A44DB3"/>
    <w:rsid w:val="00A44DDC"/>
    <w:rsid w:val="00A45E61"/>
    <w:rsid w:val="00A45FC0"/>
    <w:rsid w:val="00A46952"/>
    <w:rsid w:val="00A476AA"/>
    <w:rsid w:val="00A505D0"/>
    <w:rsid w:val="00A5103E"/>
    <w:rsid w:val="00A51AEC"/>
    <w:rsid w:val="00A51EB2"/>
    <w:rsid w:val="00A529AB"/>
    <w:rsid w:val="00A53C21"/>
    <w:rsid w:val="00A5623F"/>
    <w:rsid w:val="00A6126C"/>
    <w:rsid w:val="00A6286D"/>
    <w:rsid w:val="00A62FE5"/>
    <w:rsid w:val="00A63DF5"/>
    <w:rsid w:val="00A64827"/>
    <w:rsid w:val="00A64D58"/>
    <w:rsid w:val="00A6627C"/>
    <w:rsid w:val="00A668AB"/>
    <w:rsid w:val="00A706D1"/>
    <w:rsid w:val="00A71999"/>
    <w:rsid w:val="00A72853"/>
    <w:rsid w:val="00A75AF6"/>
    <w:rsid w:val="00A76868"/>
    <w:rsid w:val="00A77690"/>
    <w:rsid w:val="00A80189"/>
    <w:rsid w:val="00A815B7"/>
    <w:rsid w:val="00A81D8B"/>
    <w:rsid w:val="00A81EE6"/>
    <w:rsid w:val="00A8268E"/>
    <w:rsid w:val="00A82AA6"/>
    <w:rsid w:val="00A84D5F"/>
    <w:rsid w:val="00A853C5"/>
    <w:rsid w:val="00A86DB1"/>
    <w:rsid w:val="00A92BC7"/>
    <w:rsid w:val="00A92F10"/>
    <w:rsid w:val="00A938AD"/>
    <w:rsid w:val="00A96331"/>
    <w:rsid w:val="00A964C6"/>
    <w:rsid w:val="00AA119B"/>
    <w:rsid w:val="00AA14E4"/>
    <w:rsid w:val="00AA16C5"/>
    <w:rsid w:val="00AA17A0"/>
    <w:rsid w:val="00AA17F2"/>
    <w:rsid w:val="00AA2228"/>
    <w:rsid w:val="00AA2D1B"/>
    <w:rsid w:val="00AA3255"/>
    <w:rsid w:val="00AA3F81"/>
    <w:rsid w:val="00AA41C1"/>
    <w:rsid w:val="00AA49D7"/>
    <w:rsid w:val="00AA7767"/>
    <w:rsid w:val="00AA7BC6"/>
    <w:rsid w:val="00AB1AEF"/>
    <w:rsid w:val="00AB3101"/>
    <w:rsid w:val="00AB342F"/>
    <w:rsid w:val="00AB3EA4"/>
    <w:rsid w:val="00AB575F"/>
    <w:rsid w:val="00AB662D"/>
    <w:rsid w:val="00AB663C"/>
    <w:rsid w:val="00AB67FE"/>
    <w:rsid w:val="00AB7DD2"/>
    <w:rsid w:val="00AB7E40"/>
    <w:rsid w:val="00AC111B"/>
    <w:rsid w:val="00AC2080"/>
    <w:rsid w:val="00AC2B69"/>
    <w:rsid w:val="00AC2C30"/>
    <w:rsid w:val="00AC2C89"/>
    <w:rsid w:val="00AC4776"/>
    <w:rsid w:val="00AC49FB"/>
    <w:rsid w:val="00AC4A59"/>
    <w:rsid w:val="00AC674A"/>
    <w:rsid w:val="00AD00B5"/>
    <w:rsid w:val="00AD3761"/>
    <w:rsid w:val="00AD4157"/>
    <w:rsid w:val="00AD4B46"/>
    <w:rsid w:val="00AD6112"/>
    <w:rsid w:val="00AE0A57"/>
    <w:rsid w:val="00AE1299"/>
    <w:rsid w:val="00AE263A"/>
    <w:rsid w:val="00AE528B"/>
    <w:rsid w:val="00AE52C0"/>
    <w:rsid w:val="00AE66E9"/>
    <w:rsid w:val="00AE7518"/>
    <w:rsid w:val="00AE7666"/>
    <w:rsid w:val="00AF0AEB"/>
    <w:rsid w:val="00AF0D44"/>
    <w:rsid w:val="00AF0D74"/>
    <w:rsid w:val="00AF0F7D"/>
    <w:rsid w:val="00AF155D"/>
    <w:rsid w:val="00AF21A4"/>
    <w:rsid w:val="00AF27B1"/>
    <w:rsid w:val="00AF2F7D"/>
    <w:rsid w:val="00AF4899"/>
    <w:rsid w:val="00AF4DDC"/>
    <w:rsid w:val="00AF509F"/>
    <w:rsid w:val="00AF5B91"/>
    <w:rsid w:val="00AF6109"/>
    <w:rsid w:val="00AF634B"/>
    <w:rsid w:val="00AF71FF"/>
    <w:rsid w:val="00B013A6"/>
    <w:rsid w:val="00B019E4"/>
    <w:rsid w:val="00B04E86"/>
    <w:rsid w:val="00B05131"/>
    <w:rsid w:val="00B0684F"/>
    <w:rsid w:val="00B06A2B"/>
    <w:rsid w:val="00B06D3D"/>
    <w:rsid w:val="00B071CA"/>
    <w:rsid w:val="00B104EA"/>
    <w:rsid w:val="00B1074A"/>
    <w:rsid w:val="00B14814"/>
    <w:rsid w:val="00B14E34"/>
    <w:rsid w:val="00B14F83"/>
    <w:rsid w:val="00B15CE1"/>
    <w:rsid w:val="00B1604B"/>
    <w:rsid w:val="00B163F2"/>
    <w:rsid w:val="00B16EC3"/>
    <w:rsid w:val="00B17C4E"/>
    <w:rsid w:val="00B2167C"/>
    <w:rsid w:val="00B23301"/>
    <w:rsid w:val="00B24A8F"/>
    <w:rsid w:val="00B254A4"/>
    <w:rsid w:val="00B25AC2"/>
    <w:rsid w:val="00B26EDB"/>
    <w:rsid w:val="00B278FD"/>
    <w:rsid w:val="00B32931"/>
    <w:rsid w:val="00B32C1E"/>
    <w:rsid w:val="00B331F7"/>
    <w:rsid w:val="00B33BAC"/>
    <w:rsid w:val="00B34737"/>
    <w:rsid w:val="00B3488C"/>
    <w:rsid w:val="00B34C26"/>
    <w:rsid w:val="00B34DF2"/>
    <w:rsid w:val="00B354DE"/>
    <w:rsid w:val="00B37C4E"/>
    <w:rsid w:val="00B37CC5"/>
    <w:rsid w:val="00B401F6"/>
    <w:rsid w:val="00B41FC9"/>
    <w:rsid w:val="00B422B7"/>
    <w:rsid w:val="00B44065"/>
    <w:rsid w:val="00B4488D"/>
    <w:rsid w:val="00B46CE3"/>
    <w:rsid w:val="00B55D38"/>
    <w:rsid w:val="00B55EF2"/>
    <w:rsid w:val="00B56130"/>
    <w:rsid w:val="00B561D1"/>
    <w:rsid w:val="00B561F3"/>
    <w:rsid w:val="00B57BC7"/>
    <w:rsid w:val="00B60C72"/>
    <w:rsid w:val="00B60E11"/>
    <w:rsid w:val="00B61ACF"/>
    <w:rsid w:val="00B62142"/>
    <w:rsid w:val="00B6338D"/>
    <w:rsid w:val="00B649EF"/>
    <w:rsid w:val="00B65FBC"/>
    <w:rsid w:val="00B67260"/>
    <w:rsid w:val="00B675B1"/>
    <w:rsid w:val="00B675E7"/>
    <w:rsid w:val="00B676FB"/>
    <w:rsid w:val="00B70F76"/>
    <w:rsid w:val="00B7105E"/>
    <w:rsid w:val="00B72617"/>
    <w:rsid w:val="00B7373A"/>
    <w:rsid w:val="00B73936"/>
    <w:rsid w:val="00B7547A"/>
    <w:rsid w:val="00B764B1"/>
    <w:rsid w:val="00B771A4"/>
    <w:rsid w:val="00B77A0C"/>
    <w:rsid w:val="00B80105"/>
    <w:rsid w:val="00B80D57"/>
    <w:rsid w:val="00B8489E"/>
    <w:rsid w:val="00B853C9"/>
    <w:rsid w:val="00B85B0B"/>
    <w:rsid w:val="00B85BB8"/>
    <w:rsid w:val="00B8678A"/>
    <w:rsid w:val="00B905FF"/>
    <w:rsid w:val="00B91B7C"/>
    <w:rsid w:val="00B92940"/>
    <w:rsid w:val="00B93186"/>
    <w:rsid w:val="00B931BF"/>
    <w:rsid w:val="00B933A6"/>
    <w:rsid w:val="00B93578"/>
    <w:rsid w:val="00B94BBE"/>
    <w:rsid w:val="00B959FD"/>
    <w:rsid w:val="00B95C51"/>
    <w:rsid w:val="00B95FF7"/>
    <w:rsid w:val="00B97A50"/>
    <w:rsid w:val="00BA360E"/>
    <w:rsid w:val="00BA4229"/>
    <w:rsid w:val="00BA4C28"/>
    <w:rsid w:val="00BA6273"/>
    <w:rsid w:val="00BA775E"/>
    <w:rsid w:val="00BA7D67"/>
    <w:rsid w:val="00BB11F7"/>
    <w:rsid w:val="00BB15E1"/>
    <w:rsid w:val="00BB236F"/>
    <w:rsid w:val="00BB49D6"/>
    <w:rsid w:val="00BB6405"/>
    <w:rsid w:val="00BB6DA3"/>
    <w:rsid w:val="00BB6DB9"/>
    <w:rsid w:val="00BB7230"/>
    <w:rsid w:val="00BC0607"/>
    <w:rsid w:val="00BC0710"/>
    <w:rsid w:val="00BC20F5"/>
    <w:rsid w:val="00BC21F6"/>
    <w:rsid w:val="00BC28A2"/>
    <w:rsid w:val="00BC499F"/>
    <w:rsid w:val="00BC58D5"/>
    <w:rsid w:val="00BC69D8"/>
    <w:rsid w:val="00BC6A0A"/>
    <w:rsid w:val="00BC78D8"/>
    <w:rsid w:val="00BD144C"/>
    <w:rsid w:val="00BD321A"/>
    <w:rsid w:val="00BD3A39"/>
    <w:rsid w:val="00BD52E8"/>
    <w:rsid w:val="00BD5830"/>
    <w:rsid w:val="00BD58E6"/>
    <w:rsid w:val="00BD5CC2"/>
    <w:rsid w:val="00BD6204"/>
    <w:rsid w:val="00BD6695"/>
    <w:rsid w:val="00BE00F0"/>
    <w:rsid w:val="00BE11A6"/>
    <w:rsid w:val="00BE13BD"/>
    <w:rsid w:val="00BE3081"/>
    <w:rsid w:val="00BE3BA0"/>
    <w:rsid w:val="00BE469F"/>
    <w:rsid w:val="00BE4841"/>
    <w:rsid w:val="00BE5368"/>
    <w:rsid w:val="00BE56E2"/>
    <w:rsid w:val="00BE5DB2"/>
    <w:rsid w:val="00BE5EB8"/>
    <w:rsid w:val="00BE648A"/>
    <w:rsid w:val="00BE7372"/>
    <w:rsid w:val="00BE7AE6"/>
    <w:rsid w:val="00BE7B63"/>
    <w:rsid w:val="00BF02F4"/>
    <w:rsid w:val="00BF17C0"/>
    <w:rsid w:val="00BF2EE0"/>
    <w:rsid w:val="00BF2FCC"/>
    <w:rsid w:val="00BF3789"/>
    <w:rsid w:val="00BF3BBF"/>
    <w:rsid w:val="00BF4336"/>
    <w:rsid w:val="00BF5564"/>
    <w:rsid w:val="00BF5900"/>
    <w:rsid w:val="00C00B6C"/>
    <w:rsid w:val="00C01B18"/>
    <w:rsid w:val="00C01B72"/>
    <w:rsid w:val="00C01D77"/>
    <w:rsid w:val="00C0223D"/>
    <w:rsid w:val="00C02A7D"/>
    <w:rsid w:val="00C03C44"/>
    <w:rsid w:val="00C05351"/>
    <w:rsid w:val="00C06909"/>
    <w:rsid w:val="00C06D99"/>
    <w:rsid w:val="00C0756D"/>
    <w:rsid w:val="00C10AEA"/>
    <w:rsid w:val="00C11C2C"/>
    <w:rsid w:val="00C1334F"/>
    <w:rsid w:val="00C14253"/>
    <w:rsid w:val="00C142CA"/>
    <w:rsid w:val="00C16082"/>
    <w:rsid w:val="00C178F5"/>
    <w:rsid w:val="00C17E5C"/>
    <w:rsid w:val="00C20D79"/>
    <w:rsid w:val="00C21C52"/>
    <w:rsid w:val="00C21DFF"/>
    <w:rsid w:val="00C225D2"/>
    <w:rsid w:val="00C2289C"/>
    <w:rsid w:val="00C23366"/>
    <w:rsid w:val="00C23723"/>
    <w:rsid w:val="00C237D0"/>
    <w:rsid w:val="00C2519F"/>
    <w:rsid w:val="00C25B4C"/>
    <w:rsid w:val="00C27732"/>
    <w:rsid w:val="00C32240"/>
    <w:rsid w:val="00C323E7"/>
    <w:rsid w:val="00C3266D"/>
    <w:rsid w:val="00C32CF1"/>
    <w:rsid w:val="00C36E93"/>
    <w:rsid w:val="00C36E99"/>
    <w:rsid w:val="00C373EA"/>
    <w:rsid w:val="00C37572"/>
    <w:rsid w:val="00C37C7D"/>
    <w:rsid w:val="00C4030C"/>
    <w:rsid w:val="00C41BFA"/>
    <w:rsid w:val="00C42074"/>
    <w:rsid w:val="00C42803"/>
    <w:rsid w:val="00C42EC9"/>
    <w:rsid w:val="00C43521"/>
    <w:rsid w:val="00C43F22"/>
    <w:rsid w:val="00C447B5"/>
    <w:rsid w:val="00C447BF"/>
    <w:rsid w:val="00C44B21"/>
    <w:rsid w:val="00C44B26"/>
    <w:rsid w:val="00C4542E"/>
    <w:rsid w:val="00C47A47"/>
    <w:rsid w:val="00C534B7"/>
    <w:rsid w:val="00C54201"/>
    <w:rsid w:val="00C54B3B"/>
    <w:rsid w:val="00C56736"/>
    <w:rsid w:val="00C56E1F"/>
    <w:rsid w:val="00C5706F"/>
    <w:rsid w:val="00C5741C"/>
    <w:rsid w:val="00C57932"/>
    <w:rsid w:val="00C601A1"/>
    <w:rsid w:val="00C605D2"/>
    <w:rsid w:val="00C60728"/>
    <w:rsid w:val="00C60B2E"/>
    <w:rsid w:val="00C614BD"/>
    <w:rsid w:val="00C617BE"/>
    <w:rsid w:val="00C633EF"/>
    <w:rsid w:val="00C651CF"/>
    <w:rsid w:val="00C654A9"/>
    <w:rsid w:val="00C654AE"/>
    <w:rsid w:val="00C65B17"/>
    <w:rsid w:val="00C6627F"/>
    <w:rsid w:val="00C669AC"/>
    <w:rsid w:val="00C71762"/>
    <w:rsid w:val="00C72366"/>
    <w:rsid w:val="00C72D83"/>
    <w:rsid w:val="00C74121"/>
    <w:rsid w:val="00C74CE2"/>
    <w:rsid w:val="00C75387"/>
    <w:rsid w:val="00C7622C"/>
    <w:rsid w:val="00C76C5C"/>
    <w:rsid w:val="00C76F2E"/>
    <w:rsid w:val="00C776DA"/>
    <w:rsid w:val="00C77FF4"/>
    <w:rsid w:val="00C80116"/>
    <w:rsid w:val="00C8137A"/>
    <w:rsid w:val="00C814F6"/>
    <w:rsid w:val="00C83022"/>
    <w:rsid w:val="00C83358"/>
    <w:rsid w:val="00C83835"/>
    <w:rsid w:val="00C839C4"/>
    <w:rsid w:val="00C84C63"/>
    <w:rsid w:val="00C84FEE"/>
    <w:rsid w:val="00C86635"/>
    <w:rsid w:val="00C87F29"/>
    <w:rsid w:val="00C90DE1"/>
    <w:rsid w:val="00C90E08"/>
    <w:rsid w:val="00C92197"/>
    <w:rsid w:val="00C95530"/>
    <w:rsid w:val="00C958BB"/>
    <w:rsid w:val="00C965E3"/>
    <w:rsid w:val="00C969FB"/>
    <w:rsid w:val="00C97C27"/>
    <w:rsid w:val="00C97D96"/>
    <w:rsid w:val="00CA0094"/>
    <w:rsid w:val="00CA03D7"/>
    <w:rsid w:val="00CA3412"/>
    <w:rsid w:val="00CA50DF"/>
    <w:rsid w:val="00CA5314"/>
    <w:rsid w:val="00CA6CB4"/>
    <w:rsid w:val="00CA6FA5"/>
    <w:rsid w:val="00CA7D3C"/>
    <w:rsid w:val="00CB1A16"/>
    <w:rsid w:val="00CB2DC9"/>
    <w:rsid w:val="00CB3100"/>
    <w:rsid w:val="00CB42ED"/>
    <w:rsid w:val="00CB7EC7"/>
    <w:rsid w:val="00CC0BE4"/>
    <w:rsid w:val="00CC0DF2"/>
    <w:rsid w:val="00CC19A7"/>
    <w:rsid w:val="00CC1A3F"/>
    <w:rsid w:val="00CC259C"/>
    <w:rsid w:val="00CC3855"/>
    <w:rsid w:val="00CC39AC"/>
    <w:rsid w:val="00CC56DE"/>
    <w:rsid w:val="00CC640D"/>
    <w:rsid w:val="00CC7388"/>
    <w:rsid w:val="00CC7E5D"/>
    <w:rsid w:val="00CD182E"/>
    <w:rsid w:val="00CD2592"/>
    <w:rsid w:val="00CD30FC"/>
    <w:rsid w:val="00CD5F5D"/>
    <w:rsid w:val="00CD62D7"/>
    <w:rsid w:val="00CD6501"/>
    <w:rsid w:val="00CE0010"/>
    <w:rsid w:val="00CE08BB"/>
    <w:rsid w:val="00CE1C22"/>
    <w:rsid w:val="00CE2C50"/>
    <w:rsid w:val="00CE3F53"/>
    <w:rsid w:val="00CE6359"/>
    <w:rsid w:val="00CE70C9"/>
    <w:rsid w:val="00CE71AD"/>
    <w:rsid w:val="00CE7B3E"/>
    <w:rsid w:val="00CF178F"/>
    <w:rsid w:val="00CF1F18"/>
    <w:rsid w:val="00CF2473"/>
    <w:rsid w:val="00CF2A70"/>
    <w:rsid w:val="00CF4C0F"/>
    <w:rsid w:val="00CF6CB4"/>
    <w:rsid w:val="00CF75FF"/>
    <w:rsid w:val="00CF76B1"/>
    <w:rsid w:val="00CF7E3C"/>
    <w:rsid w:val="00CF7FE1"/>
    <w:rsid w:val="00D0186D"/>
    <w:rsid w:val="00D02A1D"/>
    <w:rsid w:val="00D0399E"/>
    <w:rsid w:val="00D03F09"/>
    <w:rsid w:val="00D04D32"/>
    <w:rsid w:val="00D04F86"/>
    <w:rsid w:val="00D06A53"/>
    <w:rsid w:val="00D104C9"/>
    <w:rsid w:val="00D1073B"/>
    <w:rsid w:val="00D1157B"/>
    <w:rsid w:val="00D1248A"/>
    <w:rsid w:val="00D12716"/>
    <w:rsid w:val="00D128EB"/>
    <w:rsid w:val="00D146FA"/>
    <w:rsid w:val="00D14736"/>
    <w:rsid w:val="00D15AA3"/>
    <w:rsid w:val="00D17538"/>
    <w:rsid w:val="00D17BF5"/>
    <w:rsid w:val="00D20F4F"/>
    <w:rsid w:val="00D21F0F"/>
    <w:rsid w:val="00D22F01"/>
    <w:rsid w:val="00D25AC2"/>
    <w:rsid w:val="00D25F2C"/>
    <w:rsid w:val="00D31858"/>
    <w:rsid w:val="00D32A66"/>
    <w:rsid w:val="00D33960"/>
    <w:rsid w:val="00D33A43"/>
    <w:rsid w:val="00D3628E"/>
    <w:rsid w:val="00D36577"/>
    <w:rsid w:val="00D37E63"/>
    <w:rsid w:val="00D40088"/>
    <w:rsid w:val="00D40155"/>
    <w:rsid w:val="00D416B3"/>
    <w:rsid w:val="00D42752"/>
    <w:rsid w:val="00D4280A"/>
    <w:rsid w:val="00D43F6C"/>
    <w:rsid w:val="00D44DAC"/>
    <w:rsid w:val="00D4603C"/>
    <w:rsid w:val="00D462B2"/>
    <w:rsid w:val="00D4798C"/>
    <w:rsid w:val="00D5018F"/>
    <w:rsid w:val="00D501C2"/>
    <w:rsid w:val="00D501F6"/>
    <w:rsid w:val="00D50F4C"/>
    <w:rsid w:val="00D51FB6"/>
    <w:rsid w:val="00D525DB"/>
    <w:rsid w:val="00D54D28"/>
    <w:rsid w:val="00D55A1D"/>
    <w:rsid w:val="00D55F4E"/>
    <w:rsid w:val="00D575F0"/>
    <w:rsid w:val="00D579EF"/>
    <w:rsid w:val="00D601E9"/>
    <w:rsid w:val="00D64842"/>
    <w:rsid w:val="00D64D08"/>
    <w:rsid w:val="00D6673B"/>
    <w:rsid w:val="00D66CAF"/>
    <w:rsid w:val="00D66FAF"/>
    <w:rsid w:val="00D66FB3"/>
    <w:rsid w:val="00D71AFF"/>
    <w:rsid w:val="00D72BE8"/>
    <w:rsid w:val="00D73DDF"/>
    <w:rsid w:val="00D74018"/>
    <w:rsid w:val="00D74DBF"/>
    <w:rsid w:val="00D7531D"/>
    <w:rsid w:val="00D75382"/>
    <w:rsid w:val="00D75520"/>
    <w:rsid w:val="00D75641"/>
    <w:rsid w:val="00D7622F"/>
    <w:rsid w:val="00D762F8"/>
    <w:rsid w:val="00D7654D"/>
    <w:rsid w:val="00D765EA"/>
    <w:rsid w:val="00D766E7"/>
    <w:rsid w:val="00D767B2"/>
    <w:rsid w:val="00D76E6E"/>
    <w:rsid w:val="00D77E96"/>
    <w:rsid w:val="00D77FF4"/>
    <w:rsid w:val="00D80597"/>
    <w:rsid w:val="00D81630"/>
    <w:rsid w:val="00D81AF7"/>
    <w:rsid w:val="00D82D80"/>
    <w:rsid w:val="00D82E6F"/>
    <w:rsid w:val="00D830FF"/>
    <w:rsid w:val="00D832F2"/>
    <w:rsid w:val="00D83715"/>
    <w:rsid w:val="00D83BCC"/>
    <w:rsid w:val="00D856F9"/>
    <w:rsid w:val="00D8772A"/>
    <w:rsid w:val="00D900A8"/>
    <w:rsid w:val="00D91237"/>
    <w:rsid w:val="00D918D2"/>
    <w:rsid w:val="00D92472"/>
    <w:rsid w:val="00D92481"/>
    <w:rsid w:val="00D92AE3"/>
    <w:rsid w:val="00D92F2F"/>
    <w:rsid w:val="00D93025"/>
    <w:rsid w:val="00D95243"/>
    <w:rsid w:val="00D95A42"/>
    <w:rsid w:val="00D95A89"/>
    <w:rsid w:val="00D962E5"/>
    <w:rsid w:val="00D96A92"/>
    <w:rsid w:val="00D96E92"/>
    <w:rsid w:val="00D97BE2"/>
    <w:rsid w:val="00DA09B8"/>
    <w:rsid w:val="00DA17D2"/>
    <w:rsid w:val="00DA2AFC"/>
    <w:rsid w:val="00DA3112"/>
    <w:rsid w:val="00DA462C"/>
    <w:rsid w:val="00DA49BA"/>
    <w:rsid w:val="00DA5B29"/>
    <w:rsid w:val="00DA5CC8"/>
    <w:rsid w:val="00DA6841"/>
    <w:rsid w:val="00DB178D"/>
    <w:rsid w:val="00DB4457"/>
    <w:rsid w:val="00DB569F"/>
    <w:rsid w:val="00DB59D8"/>
    <w:rsid w:val="00DB5E3C"/>
    <w:rsid w:val="00DB647A"/>
    <w:rsid w:val="00DC0086"/>
    <w:rsid w:val="00DC0B53"/>
    <w:rsid w:val="00DC3184"/>
    <w:rsid w:val="00DC3CFF"/>
    <w:rsid w:val="00DC4012"/>
    <w:rsid w:val="00DC5F3E"/>
    <w:rsid w:val="00DC65F1"/>
    <w:rsid w:val="00DC7486"/>
    <w:rsid w:val="00DC78B5"/>
    <w:rsid w:val="00DD1183"/>
    <w:rsid w:val="00DD1C44"/>
    <w:rsid w:val="00DD34CB"/>
    <w:rsid w:val="00DD47C1"/>
    <w:rsid w:val="00DD54B9"/>
    <w:rsid w:val="00DD6215"/>
    <w:rsid w:val="00DE037F"/>
    <w:rsid w:val="00DE0542"/>
    <w:rsid w:val="00DE0FFD"/>
    <w:rsid w:val="00DE100D"/>
    <w:rsid w:val="00DE1734"/>
    <w:rsid w:val="00DE19FD"/>
    <w:rsid w:val="00DE34DF"/>
    <w:rsid w:val="00DE61F6"/>
    <w:rsid w:val="00DE6824"/>
    <w:rsid w:val="00DE6953"/>
    <w:rsid w:val="00DE7250"/>
    <w:rsid w:val="00DE75B0"/>
    <w:rsid w:val="00DF2172"/>
    <w:rsid w:val="00DF231E"/>
    <w:rsid w:val="00DF4372"/>
    <w:rsid w:val="00DF57B5"/>
    <w:rsid w:val="00DF6773"/>
    <w:rsid w:val="00DF6D5B"/>
    <w:rsid w:val="00DF71C3"/>
    <w:rsid w:val="00E0176F"/>
    <w:rsid w:val="00E02134"/>
    <w:rsid w:val="00E02750"/>
    <w:rsid w:val="00E03270"/>
    <w:rsid w:val="00E07ADB"/>
    <w:rsid w:val="00E07C76"/>
    <w:rsid w:val="00E1098B"/>
    <w:rsid w:val="00E118F7"/>
    <w:rsid w:val="00E11DDF"/>
    <w:rsid w:val="00E12223"/>
    <w:rsid w:val="00E12B60"/>
    <w:rsid w:val="00E12E31"/>
    <w:rsid w:val="00E135C4"/>
    <w:rsid w:val="00E13621"/>
    <w:rsid w:val="00E13DE3"/>
    <w:rsid w:val="00E147AD"/>
    <w:rsid w:val="00E14D8E"/>
    <w:rsid w:val="00E17836"/>
    <w:rsid w:val="00E17C44"/>
    <w:rsid w:val="00E202E9"/>
    <w:rsid w:val="00E222ED"/>
    <w:rsid w:val="00E22B1B"/>
    <w:rsid w:val="00E233B2"/>
    <w:rsid w:val="00E239C7"/>
    <w:rsid w:val="00E245C6"/>
    <w:rsid w:val="00E2496D"/>
    <w:rsid w:val="00E24A4E"/>
    <w:rsid w:val="00E25390"/>
    <w:rsid w:val="00E25A9E"/>
    <w:rsid w:val="00E265C3"/>
    <w:rsid w:val="00E3133D"/>
    <w:rsid w:val="00E329CB"/>
    <w:rsid w:val="00E32A3E"/>
    <w:rsid w:val="00E32DBE"/>
    <w:rsid w:val="00E338B1"/>
    <w:rsid w:val="00E33BB3"/>
    <w:rsid w:val="00E3461A"/>
    <w:rsid w:val="00E3494C"/>
    <w:rsid w:val="00E34A0E"/>
    <w:rsid w:val="00E354D8"/>
    <w:rsid w:val="00E366A0"/>
    <w:rsid w:val="00E37420"/>
    <w:rsid w:val="00E4261A"/>
    <w:rsid w:val="00E43396"/>
    <w:rsid w:val="00E44806"/>
    <w:rsid w:val="00E44F88"/>
    <w:rsid w:val="00E5061E"/>
    <w:rsid w:val="00E51A44"/>
    <w:rsid w:val="00E51A80"/>
    <w:rsid w:val="00E51DDE"/>
    <w:rsid w:val="00E5347C"/>
    <w:rsid w:val="00E55F9A"/>
    <w:rsid w:val="00E57C0A"/>
    <w:rsid w:val="00E57D4A"/>
    <w:rsid w:val="00E57F40"/>
    <w:rsid w:val="00E601D4"/>
    <w:rsid w:val="00E602F7"/>
    <w:rsid w:val="00E65662"/>
    <w:rsid w:val="00E67E66"/>
    <w:rsid w:val="00E710F6"/>
    <w:rsid w:val="00E71363"/>
    <w:rsid w:val="00E71D3E"/>
    <w:rsid w:val="00E73F3A"/>
    <w:rsid w:val="00E7476A"/>
    <w:rsid w:val="00E752D4"/>
    <w:rsid w:val="00E758D4"/>
    <w:rsid w:val="00E76B89"/>
    <w:rsid w:val="00E77057"/>
    <w:rsid w:val="00E804D3"/>
    <w:rsid w:val="00E80963"/>
    <w:rsid w:val="00E82118"/>
    <w:rsid w:val="00E822D4"/>
    <w:rsid w:val="00E825CA"/>
    <w:rsid w:val="00E828F4"/>
    <w:rsid w:val="00E83764"/>
    <w:rsid w:val="00E84EFB"/>
    <w:rsid w:val="00E861AD"/>
    <w:rsid w:val="00E8686A"/>
    <w:rsid w:val="00E9061B"/>
    <w:rsid w:val="00E91134"/>
    <w:rsid w:val="00E9267D"/>
    <w:rsid w:val="00E93802"/>
    <w:rsid w:val="00E93B79"/>
    <w:rsid w:val="00E93F91"/>
    <w:rsid w:val="00E9413F"/>
    <w:rsid w:val="00E94D26"/>
    <w:rsid w:val="00E94DCB"/>
    <w:rsid w:val="00E954F3"/>
    <w:rsid w:val="00E95F38"/>
    <w:rsid w:val="00E9621E"/>
    <w:rsid w:val="00E9658D"/>
    <w:rsid w:val="00E96AEB"/>
    <w:rsid w:val="00E97DE0"/>
    <w:rsid w:val="00EA005B"/>
    <w:rsid w:val="00EA0CD9"/>
    <w:rsid w:val="00EA18C8"/>
    <w:rsid w:val="00EA1BB7"/>
    <w:rsid w:val="00EA32AE"/>
    <w:rsid w:val="00EA32DE"/>
    <w:rsid w:val="00EA5558"/>
    <w:rsid w:val="00EA596D"/>
    <w:rsid w:val="00EA6E3B"/>
    <w:rsid w:val="00EA7FF9"/>
    <w:rsid w:val="00EB11AF"/>
    <w:rsid w:val="00EB21B5"/>
    <w:rsid w:val="00EB2D0B"/>
    <w:rsid w:val="00EB2DAA"/>
    <w:rsid w:val="00EB3071"/>
    <w:rsid w:val="00EB594B"/>
    <w:rsid w:val="00EB74F3"/>
    <w:rsid w:val="00EC323F"/>
    <w:rsid w:val="00EC4243"/>
    <w:rsid w:val="00EC60BA"/>
    <w:rsid w:val="00EC64FA"/>
    <w:rsid w:val="00EC668E"/>
    <w:rsid w:val="00EC7B59"/>
    <w:rsid w:val="00ED023F"/>
    <w:rsid w:val="00ED10B5"/>
    <w:rsid w:val="00ED18CC"/>
    <w:rsid w:val="00ED1FBF"/>
    <w:rsid w:val="00ED25B7"/>
    <w:rsid w:val="00ED2B1D"/>
    <w:rsid w:val="00ED2DA7"/>
    <w:rsid w:val="00ED5E91"/>
    <w:rsid w:val="00ED69C4"/>
    <w:rsid w:val="00ED703D"/>
    <w:rsid w:val="00ED7163"/>
    <w:rsid w:val="00EE0ED7"/>
    <w:rsid w:val="00EE1364"/>
    <w:rsid w:val="00EE19ED"/>
    <w:rsid w:val="00EE1B9E"/>
    <w:rsid w:val="00EE21AE"/>
    <w:rsid w:val="00EE2D05"/>
    <w:rsid w:val="00EE2F08"/>
    <w:rsid w:val="00EE50BE"/>
    <w:rsid w:val="00EE7546"/>
    <w:rsid w:val="00EE7C16"/>
    <w:rsid w:val="00EF0ECE"/>
    <w:rsid w:val="00EF1077"/>
    <w:rsid w:val="00EF3447"/>
    <w:rsid w:val="00EF3470"/>
    <w:rsid w:val="00EF3CD4"/>
    <w:rsid w:val="00EF49F4"/>
    <w:rsid w:val="00EF4F11"/>
    <w:rsid w:val="00EF57E1"/>
    <w:rsid w:val="00EF6142"/>
    <w:rsid w:val="00F00C50"/>
    <w:rsid w:val="00F03593"/>
    <w:rsid w:val="00F03C01"/>
    <w:rsid w:val="00F04110"/>
    <w:rsid w:val="00F04D8F"/>
    <w:rsid w:val="00F0511A"/>
    <w:rsid w:val="00F06031"/>
    <w:rsid w:val="00F06A62"/>
    <w:rsid w:val="00F07672"/>
    <w:rsid w:val="00F12EE8"/>
    <w:rsid w:val="00F1416F"/>
    <w:rsid w:val="00F14507"/>
    <w:rsid w:val="00F163D2"/>
    <w:rsid w:val="00F16785"/>
    <w:rsid w:val="00F17514"/>
    <w:rsid w:val="00F20FF5"/>
    <w:rsid w:val="00F21A99"/>
    <w:rsid w:val="00F21D22"/>
    <w:rsid w:val="00F22D93"/>
    <w:rsid w:val="00F2428D"/>
    <w:rsid w:val="00F24295"/>
    <w:rsid w:val="00F249D3"/>
    <w:rsid w:val="00F30163"/>
    <w:rsid w:val="00F30534"/>
    <w:rsid w:val="00F30763"/>
    <w:rsid w:val="00F3121C"/>
    <w:rsid w:val="00F3281A"/>
    <w:rsid w:val="00F32A66"/>
    <w:rsid w:val="00F3347E"/>
    <w:rsid w:val="00F338F1"/>
    <w:rsid w:val="00F33C74"/>
    <w:rsid w:val="00F37371"/>
    <w:rsid w:val="00F37E2A"/>
    <w:rsid w:val="00F37EB5"/>
    <w:rsid w:val="00F408AA"/>
    <w:rsid w:val="00F41DF5"/>
    <w:rsid w:val="00F423D6"/>
    <w:rsid w:val="00F43D48"/>
    <w:rsid w:val="00F44A5F"/>
    <w:rsid w:val="00F456B6"/>
    <w:rsid w:val="00F460EB"/>
    <w:rsid w:val="00F46551"/>
    <w:rsid w:val="00F5172E"/>
    <w:rsid w:val="00F517A5"/>
    <w:rsid w:val="00F51F02"/>
    <w:rsid w:val="00F53386"/>
    <w:rsid w:val="00F54727"/>
    <w:rsid w:val="00F57B2F"/>
    <w:rsid w:val="00F607D2"/>
    <w:rsid w:val="00F6224C"/>
    <w:rsid w:val="00F6314A"/>
    <w:rsid w:val="00F63C85"/>
    <w:rsid w:val="00F645DF"/>
    <w:rsid w:val="00F64E20"/>
    <w:rsid w:val="00F666FA"/>
    <w:rsid w:val="00F67CF1"/>
    <w:rsid w:val="00F71093"/>
    <w:rsid w:val="00F71711"/>
    <w:rsid w:val="00F729A0"/>
    <w:rsid w:val="00F72EA4"/>
    <w:rsid w:val="00F73148"/>
    <w:rsid w:val="00F73DA2"/>
    <w:rsid w:val="00F75D2B"/>
    <w:rsid w:val="00F76297"/>
    <w:rsid w:val="00F7664A"/>
    <w:rsid w:val="00F76B13"/>
    <w:rsid w:val="00F76CC0"/>
    <w:rsid w:val="00F77052"/>
    <w:rsid w:val="00F774F1"/>
    <w:rsid w:val="00F775C2"/>
    <w:rsid w:val="00F81481"/>
    <w:rsid w:val="00F82D23"/>
    <w:rsid w:val="00F8307D"/>
    <w:rsid w:val="00F83D84"/>
    <w:rsid w:val="00F83DB8"/>
    <w:rsid w:val="00F846CC"/>
    <w:rsid w:val="00F8532D"/>
    <w:rsid w:val="00F900E0"/>
    <w:rsid w:val="00F90642"/>
    <w:rsid w:val="00F91219"/>
    <w:rsid w:val="00F9185D"/>
    <w:rsid w:val="00F92D05"/>
    <w:rsid w:val="00F95751"/>
    <w:rsid w:val="00F95C2D"/>
    <w:rsid w:val="00F9604C"/>
    <w:rsid w:val="00F970E9"/>
    <w:rsid w:val="00F97ECB"/>
    <w:rsid w:val="00FA091D"/>
    <w:rsid w:val="00FA129C"/>
    <w:rsid w:val="00FA1E6F"/>
    <w:rsid w:val="00FA2ADD"/>
    <w:rsid w:val="00FA2B4F"/>
    <w:rsid w:val="00FA2DE9"/>
    <w:rsid w:val="00FA325D"/>
    <w:rsid w:val="00FA36A2"/>
    <w:rsid w:val="00FA400D"/>
    <w:rsid w:val="00FA5A8E"/>
    <w:rsid w:val="00FA6646"/>
    <w:rsid w:val="00FA68CB"/>
    <w:rsid w:val="00FA715B"/>
    <w:rsid w:val="00FA78E4"/>
    <w:rsid w:val="00FA7DE8"/>
    <w:rsid w:val="00FA7F74"/>
    <w:rsid w:val="00FB0537"/>
    <w:rsid w:val="00FB06CC"/>
    <w:rsid w:val="00FB11F4"/>
    <w:rsid w:val="00FB172C"/>
    <w:rsid w:val="00FB1914"/>
    <w:rsid w:val="00FB33B0"/>
    <w:rsid w:val="00FB3956"/>
    <w:rsid w:val="00FB42E2"/>
    <w:rsid w:val="00FB43A0"/>
    <w:rsid w:val="00FB69DA"/>
    <w:rsid w:val="00FC00FF"/>
    <w:rsid w:val="00FC03AD"/>
    <w:rsid w:val="00FC21EE"/>
    <w:rsid w:val="00FC25EE"/>
    <w:rsid w:val="00FC260F"/>
    <w:rsid w:val="00FC27E7"/>
    <w:rsid w:val="00FC5B5F"/>
    <w:rsid w:val="00FC7F1C"/>
    <w:rsid w:val="00FD0112"/>
    <w:rsid w:val="00FD023E"/>
    <w:rsid w:val="00FD0A78"/>
    <w:rsid w:val="00FD0EC7"/>
    <w:rsid w:val="00FD0EF9"/>
    <w:rsid w:val="00FD1335"/>
    <w:rsid w:val="00FD2224"/>
    <w:rsid w:val="00FD407D"/>
    <w:rsid w:val="00FD49B3"/>
    <w:rsid w:val="00FD61BB"/>
    <w:rsid w:val="00FD6FAC"/>
    <w:rsid w:val="00FD7BB0"/>
    <w:rsid w:val="00FE0CD2"/>
    <w:rsid w:val="00FE13CC"/>
    <w:rsid w:val="00FE1D8A"/>
    <w:rsid w:val="00FE208C"/>
    <w:rsid w:val="00FE35FC"/>
    <w:rsid w:val="00FE3783"/>
    <w:rsid w:val="00FE6AB1"/>
    <w:rsid w:val="00FE7C2C"/>
    <w:rsid w:val="00FF0DB3"/>
    <w:rsid w:val="00FF12FE"/>
    <w:rsid w:val="00FF16F9"/>
    <w:rsid w:val="00FF4702"/>
    <w:rsid w:val="00FF55B3"/>
    <w:rsid w:val="00FF6664"/>
    <w:rsid w:val="00FF6DAE"/>
    <w:rsid w:val="00FF7496"/>
    <w:rsid w:val="00FF7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e,#f5f5f5,#f9f9f9"/>
    </o:shapedefaults>
    <o:shapelayout v:ext="edit">
      <o:idmap v:ext="edit" data="2"/>
    </o:shapelayout>
  </w:shapeDefaults>
  <w:decimalSymbol w:val="."/>
  <w:listSeparator w:val=","/>
  <w14:docId w14:val="4BFF07FD"/>
  <w15:chartTrackingRefBased/>
  <w15:docId w15:val="{E306F604-8447-4F0E-8FA9-06BCCECD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D5018F"/>
    <w:pPr>
      <w:keepNext/>
      <w:keepLines/>
      <w:tabs>
        <w:tab w:val="left" w:pos="1350"/>
      </w:tabs>
      <w:spacing w:before="150" w:after="150" w:line="276" w:lineRule="auto"/>
      <w:outlineLvl w:val="0"/>
    </w:pPr>
    <w:rPr>
      <w:rFonts w:ascii="Plantagenet Cherokee" w:hAnsi="Plantagenet Cherokee" w:cstheme="majorBidi"/>
      <w:b/>
      <w:bCs/>
      <w:iCs/>
      <w:caps/>
      <w:color w:val="0B769F" w:themeColor="accent4" w:themeShade="BF"/>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8F"/>
    <w:rPr>
      <w:rFonts w:ascii="Plantagenet Cherokee" w:hAnsi="Plantagenet Cherokee" w:cstheme="majorBidi"/>
      <w:b/>
      <w:bCs/>
      <w:iCs/>
      <w:caps/>
      <w:color w:val="0B769F" w:themeColor="accent4" w:themeShade="BF"/>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1"/>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59"/>
    <w:rsid w:val="00DE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Borders>
        <w:bottom w:val="single" w:sz="2" w:space="0" w:color="auto"/>
      </w:tblBorders>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62F11"/>
    <w:pPr>
      <w:spacing w:before="240" w:after="100" w:line="276" w:lineRule="auto"/>
    </w:pPr>
    <w:rPr>
      <w:rFonts w:ascii="Plantagenet Cherokee" w:hAnsi="Plantagenet Cherokee" w:cs="Calibri"/>
      <w:b/>
      <w:i/>
      <w:color w:val="0B769F" w:themeColor="accent4" w:themeShade="BF"/>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Borders>
        <w:bottom w:val="single" w:sz="4" w:space="0" w:color="000000" w:themeColor="text1"/>
      </w:tblBorders>
    </w:tblPr>
    <w:tcPr>
      <w:shd w:val="clear" w:color="auto" w:fill="auto"/>
    </w:tcPr>
    <w:tblStylePr w:type="firstRow">
      <w:pPr>
        <w:jc w:val="left"/>
      </w:pPr>
      <w:rPr>
        <w:rFonts w:ascii="Bahnschrift Light SemiCondensed" w:hAnsi="Bahnschrift Light SemiCondens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Bahnschrift Light SemiCondensed" w:hAnsi="Bahnschrift Light SemiCondensed"/>
        <w:color w:val="000000" w:themeColor="text1"/>
        <w:sz w:val="16"/>
      </w:rPr>
    </w:tblStylePr>
    <w:tblStylePr w:type="firstCol">
      <w:pPr>
        <w:jc w:val="left"/>
      </w:pPr>
      <w:rPr>
        <w:rFonts w:ascii="Bahnschrift Light SemiCondensed" w:hAnsi="Bahnschrift Light SemiCondensed"/>
        <w:b/>
        <w:color w:val="000000" w:themeColor="text1"/>
        <w:sz w:val="16"/>
      </w:rPr>
    </w:tblStylePr>
    <w:tblStylePr w:type="lastCol">
      <w:rPr>
        <w:rFonts w:ascii="Bahnschrift Light SemiCondensed" w:hAnsi="Bahnschrift Light SemiCondensed"/>
        <w:color w:val="000000" w:themeColor="text1"/>
        <w:sz w:val="16"/>
      </w:rPr>
    </w:tblStylePr>
    <w:tblStylePr w:type="band1Vert">
      <w:rPr>
        <w:rFonts w:ascii="Bahnschrift Light SemiCondensed" w:hAnsi="Bahnschrift Light SemiCondensed"/>
        <w:color w:val="000000" w:themeColor="text1"/>
        <w:sz w:val="16"/>
      </w:rPr>
    </w:tblStylePr>
    <w:tblStylePr w:type="band2Vert">
      <w:rPr>
        <w:rFonts w:ascii="Bahnschrift Light SemiCondensed" w:hAnsi="Bahnschrift Light SemiCondensed"/>
        <w:color w:val="000000" w:themeColor="text1"/>
        <w:sz w:val="16"/>
      </w:rPr>
    </w:tblStylePr>
    <w:tblStylePr w:type="band1Horz">
      <w:rPr>
        <w:rFonts w:ascii="Bahnschrift Light SemiCondensed" w:hAnsi="Bahnschrift Light SemiCondensed"/>
        <w:color w:val="000000" w:themeColor="text1"/>
        <w:sz w:val="16"/>
      </w:rPr>
    </w:tblStylePr>
    <w:tblStylePr w:type="band2Horz">
      <w:rPr>
        <w:rFonts w:ascii="Bahnschrift Light SemiCondensed" w:hAnsi="Bahnschrift Light SemiCondens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Borders>
        <w:top w:val="single" w:sz="4" w:space="0" w:color="EAEAEA"/>
        <w:bottom w:val="single" w:sz="4" w:space="0" w:color="EAEAEA"/>
      </w:tblBorders>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paragraph" w:customStyle="1" w:styleId="EndNoteBibliography">
    <w:name w:val="EndNote Bibliography"/>
    <w:basedOn w:val="Normal"/>
    <w:link w:val="EndNoteBibliographyChar"/>
    <w:rsid w:val="00133157"/>
    <w:pPr>
      <w:spacing w:line="240" w:lineRule="auto"/>
      <w:jc w:val="both"/>
    </w:pPr>
    <w:rPr>
      <w:rFonts w:ascii="Calibri" w:hAnsi="Calibri" w:cs="Calibri"/>
      <w:noProof/>
      <w:sz w:val="24"/>
      <w:szCs w:val="24"/>
      <w:lang w:val="en-US"/>
    </w:rPr>
  </w:style>
  <w:style w:type="character" w:customStyle="1" w:styleId="EndNoteBibliographyChar">
    <w:name w:val="EndNote Bibliography Char"/>
    <w:basedOn w:val="DefaultParagraphFont"/>
    <w:link w:val="EndNoteBibliography"/>
    <w:rsid w:val="00133157"/>
    <w:rPr>
      <w:rFonts w:ascii="Calibri" w:hAnsi="Calibri" w:cs="Calibri"/>
      <w:noProof/>
      <w:sz w:val="24"/>
      <w:szCs w:val="24"/>
    </w:rPr>
  </w:style>
  <w:style w:type="character" w:styleId="SubtleEmphasis">
    <w:name w:val="Subtle Emphasis"/>
    <w:basedOn w:val="DefaultParagraphFont"/>
    <w:uiPriority w:val="19"/>
    <w:qFormat/>
    <w:rsid w:val="004B04B9"/>
    <w:rPr>
      <w:i/>
      <w:iCs/>
      <w:color w:val="404040" w:themeColor="text1" w:themeTint="BF"/>
    </w:rPr>
  </w:style>
  <w:style w:type="paragraph" w:customStyle="1" w:styleId="ds-markdown-paragraph">
    <w:name w:val="ds-markdown-paragraph"/>
    <w:basedOn w:val="Normal"/>
    <w:rsid w:val="00C21C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wcr.com/index.php/jhwcr/article/view/15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wc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ugust%207\1312%20jhwc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A4B0-4804-4998-B8FE-43E6C0BC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 jhwcr Template.dotx</Template>
  <TotalTime>6</TotalTime>
  <Pages>9</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Reviewer</cp:lastModifiedBy>
  <cp:revision>2</cp:revision>
  <cp:lastPrinted>2026-05-08T15:36:00Z</cp:lastPrinted>
  <dcterms:created xsi:type="dcterms:W3CDTF">2026-05-08T17:40:00Z</dcterms:created>
  <dcterms:modified xsi:type="dcterms:W3CDTF">2026-05-08T17:40:00Z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