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9BFA5" w14:textId="77777777" w:rsidR="00EB21B5" w:rsidRPr="009A7BAD" w:rsidRDefault="00EB21B5" w:rsidP="00FB11F4">
      <w:pPr>
        <w:pStyle w:val="NoSpacing"/>
        <w:spacing w:before="75" w:after="75"/>
        <w:rPr>
          <w:rFonts w:ascii="Plantagenet Cherokee" w:hAnsi="Plantagenet Cherokee" w:cstheme="majorBidi"/>
          <w:i/>
          <w:iCs/>
          <w:color w:val="000000" w:themeColor="text1"/>
          <w:sz w:val="16"/>
          <w:szCs w:val="16"/>
        </w:rPr>
      </w:pPr>
      <w:bookmarkStart w:id="0" w:name="OLE_LINK1"/>
      <w:r w:rsidRPr="009A7BAD">
        <w:rPr>
          <w:rFonts w:ascii="Plantagenet Cherokee" w:hAnsi="Plantagenet Cherokee" w:cstheme="majorBidi"/>
          <w:i/>
          <w:iCs/>
          <w:color w:val="000000" w:themeColor="text1"/>
          <w:sz w:val="16"/>
          <w:szCs w:val="16"/>
        </w:rPr>
        <w:t>Original Article</w:t>
      </w:r>
    </w:p>
    <w:p w14:paraId="02A9FD01" w14:textId="250FAD5E" w:rsidR="005C4F64" w:rsidRPr="009A7BAD" w:rsidRDefault="00EE2307" w:rsidP="00335DDB">
      <w:pPr>
        <w:pStyle w:val="Body"/>
        <w:tabs>
          <w:tab w:val="left" w:pos="3888"/>
        </w:tabs>
        <w:spacing w:line="240" w:lineRule="auto"/>
        <w:rPr>
          <w:rFonts w:cstheme="majorBidi"/>
          <w:b/>
          <w:bCs/>
          <w:color w:val="000000" w:themeColor="text1"/>
          <w:sz w:val="36"/>
          <w:szCs w:val="36"/>
        </w:rPr>
      </w:pPr>
      <w:r w:rsidRPr="00EE2307">
        <w:rPr>
          <w:rFonts w:cstheme="majorBidi"/>
          <w:b/>
          <w:bCs/>
          <w:color w:val="000000" w:themeColor="text1"/>
          <w:sz w:val="36"/>
          <w:szCs w:val="36"/>
        </w:rPr>
        <w:t>Association Between Clinically-Assessed Scapular Dyskinesia and Neck Disability and Functional Performance Among Gym-Goers: A Cross-Sectional Study</w:t>
      </w:r>
    </w:p>
    <w:p w14:paraId="4E5BBD98" w14:textId="148EBB6B" w:rsidR="00E202E9" w:rsidRPr="009A7BAD" w:rsidRDefault="00EE2307" w:rsidP="00A32C7B">
      <w:pPr>
        <w:pStyle w:val="Body"/>
        <w:spacing w:before="75" w:after="300"/>
        <w:rPr>
          <w:rFonts w:cstheme="majorBidi"/>
          <w:b/>
          <w:bCs/>
          <w:color w:val="0B769F" w:themeColor="accent4" w:themeShade="BF"/>
          <w:sz w:val="24"/>
          <w:szCs w:val="24"/>
        </w:rPr>
      </w:pPr>
      <w:r w:rsidRPr="00EE2307">
        <w:rPr>
          <w:rFonts w:cstheme="majorBidi"/>
          <w:b/>
          <w:bCs/>
          <w:color w:val="0B769F" w:themeColor="accent4" w:themeShade="BF"/>
          <w:sz w:val="24"/>
          <w:szCs w:val="24"/>
        </w:rPr>
        <w:t xml:space="preserve">Wajeeha Hameed¹, </w:t>
      </w:r>
      <w:r w:rsidR="00DE2AD0" w:rsidRPr="00DE2AD0">
        <w:rPr>
          <w:rFonts w:cstheme="majorBidi"/>
          <w:b/>
          <w:bCs/>
          <w:color w:val="0B769F" w:themeColor="accent4" w:themeShade="BF"/>
          <w:sz w:val="24"/>
          <w:szCs w:val="24"/>
        </w:rPr>
        <w:t>Ghulam Fatima</w:t>
      </w:r>
      <w:r w:rsidRPr="00EE2307">
        <w:rPr>
          <w:rFonts w:cstheme="majorBidi"/>
          <w:b/>
          <w:bCs/>
          <w:color w:val="0B769F" w:themeColor="accent4" w:themeShade="BF"/>
          <w:sz w:val="24"/>
          <w:szCs w:val="24"/>
        </w:rPr>
        <w:t>², Momina Arif², Hoorab Hameed¹, Mishal Jamal³, Ahmad Faraz²</w:t>
      </w:r>
    </w:p>
    <w:p w14:paraId="01FCCD12" w14:textId="750A2851" w:rsidR="00EE2307" w:rsidRPr="00EE2307" w:rsidRDefault="00A92F10" w:rsidP="00EE2307">
      <w:pPr>
        <w:pStyle w:val="NoSpacing"/>
        <w:rPr>
          <w:rFonts w:ascii="Plantagenet Cherokee" w:hAnsi="Plantagenet Cherokee"/>
          <w:sz w:val="18"/>
          <w:szCs w:val="18"/>
        </w:rPr>
      </w:pPr>
      <w:r w:rsidRPr="009A7BAD">
        <w:rPr>
          <w:rFonts w:ascii="Plantagenet Cherokee" w:hAnsi="Plantagenet Cherokee"/>
          <w:sz w:val="18"/>
          <w:szCs w:val="18"/>
        </w:rPr>
        <w:t xml:space="preserve">¹ </w:t>
      </w:r>
      <w:r w:rsidR="00EE2307" w:rsidRPr="00EE2307">
        <w:rPr>
          <w:rFonts w:ascii="Plantagenet Cherokee" w:hAnsi="Plantagenet Cherokee"/>
          <w:sz w:val="18"/>
          <w:szCs w:val="18"/>
        </w:rPr>
        <w:t>Green International University, Lahore, Pakistan</w:t>
      </w:r>
    </w:p>
    <w:p w14:paraId="5A53EE39" w14:textId="77777777" w:rsidR="00EE2307" w:rsidRPr="00EE2307" w:rsidRDefault="00EE2307" w:rsidP="00EE2307">
      <w:pPr>
        <w:pStyle w:val="NoSpacing"/>
        <w:rPr>
          <w:rFonts w:ascii="Plantagenet Cherokee" w:hAnsi="Plantagenet Cherokee"/>
          <w:sz w:val="18"/>
          <w:szCs w:val="18"/>
        </w:rPr>
      </w:pPr>
      <w:r w:rsidRPr="00EE2307">
        <w:rPr>
          <w:rFonts w:ascii="Plantagenet Cherokee" w:hAnsi="Plantagenet Cherokee"/>
          <w:sz w:val="18"/>
          <w:szCs w:val="18"/>
        </w:rPr>
        <w:t>² The University of Lahore, Lahore, Pakistan</w:t>
      </w:r>
    </w:p>
    <w:p w14:paraId="02F1E057" w14:textId="44C01D88" w:rsidR="00FB69DA" w:rsidRDefault="00EE2307" w:rsidP="00EE2307">
      <w:pPr>
        <w:pStyle w:val="NoSpacing"/>
        <w:rPr>
          <w:rFonts w:ascii="Plantagenet Cherokee" w:hAnsi="Plantagenet Cherokee"/>
          <w:sz w:val="18"/>
          <w:szCs w:val="18"/>
        </w:rPr>
      </w:pPr>
      <w:r w:rsidRPr="00EE2307">
        <w:rPr>
          <w:rFonts w:ascii="Plantagenet Cherokee" w:hAnsi="Plantagenet Cherokee"/>
          <w:sz w:val="18"/>
          <w:szCs w:val="18"/>
        </w:rPr>
        <w:t>³ Riphah International University, Lahore, Pakistan</w:t>
      </w:r>
    </w:p>
    <w:p w14:paraId="63174E0F" w14:textId="77777777" w:rsidR="009A7BAD" w:rsidRPr="009A7BAD" w:rsidRDefault="009A7BAD" w:rsidP="009A7BAD">
      <w:pPr>
        <w:pStyle w:val="NoSpacing"/>
        <w:rPr>
          <w:rFonts w:ascii="Plantagenet Cherokee" w:hAnsi="Plantagenet Cherokee"/>
          <w:sz w:val="18"/>
          <w:szCs w:val="18"/>
        </w:rPr>
      </w:pPr>
    </w:p>
    <w:p w14:paraId="79151CD8" w14:textId="40201BA7" w:rsidR="006461E1" w:rsidRPr="009A7BAD" w:rsidRDefault="00ED10B5" w:rsidP="009A7BAD">
      <w:pPr>
        <w:pStyle w:val="Body"/>
        <w:spacing w:line="360" w:lineRule="auto"/>
        <w:jc w:val="left"/>
        <w:rPr>
          <w:rFonts w:cstheme="majorBidi"/>
          <w:b/>
          <w:bCs/>
          <w:color w:val="0B769F" w:themeColor="accent4" w:themeShade="BF"/>
          <w:sz w:val="18"/>
          <w:szCs w:val="16"/>
        </w:rPr>
      </w:pPr>
      <w:r w:rsidRPr="009A7BAD">
        <w:rPr>
          <w:rFonts w:cstheme="majorBidi"/>
          <w:b/>
          <w:bCs/>
          <w:color w:val="0B769F" w:themeColor="accent4" w:themeShade="BF"/>
          <w:sz w:val="18"/>
          <w:szCs w:val="16"/>
        </w:rPr>
        <w:t xml:space="preserve">* </w:t>
      </w:r>
      <w:r w:rsidR="00E65662" w:rsidRPr="009A7BAD">
        <w:rPr>
          <w:rFonts w:cstheme="majorBidi"/>
          <w:b/>
          <w:bCs/>
          <w:color w:val="0B769F" w:themeColor="accent4" w:themeShade="BF"/>
          <w:sz w:val="18"/>
          <w:szCs w:val="16"/>
        </w:rPr>
        <w:t xml:space="preserve">Corresponding author: </w:t>
      </w:r>
      <w:r w:rsidR="00EE2307" w:rsidRPr="00EE2307">
        <w:rPr>
          <w:rFonts w:cstheme="majorBidi"/>
          <w:b/>
          <w:bCs/>
          <w:color w:val="0B769F" w:themeColor="accent4" w:themeShade="BF"/>
          <w:sz w:val="18"/>
          <w:szCs w:val="16"/>
        </w:rPr>
        <w:t>Wajeeha Hameed, drwajiha525@gmail.com</w:t>
      </w:r>
    </w:p>
    <w:bookmarkEnd w:id="0"/>
    <w:p w14:paraId="3A007AB6" w14:textId="77777777" w:rsidR="00152188" w:rsidRPr="009A7BAD" w:rsidRDefault="00152188" w:rsidP="006245EE">
      <w:pPr>
        <w:pStyle w:val="Heading1"/>
      </w:pPr>
      <w:r w:rsidRPr="009A7BAD">
        <w:t>Abstract</w:t>
      </w:r>
    </w:p>
    <w:p w14:paraId="3F7075DA" w14:textId="6BC6784B" w:rsidR="00012950" w:rsidRPr="00EE2307" w:rsidRDefault="003E52F6" w:rsidP="00EE2307">
      <w:pPr>
        <w:pStyle w:val="Body"/>
        <w:rPr>
          <w:sz w:val="16"/>
          <w:szCs w:val="14"/>
        </w:rPr>
      </w:pPr>
      <w:r w:rsidRPr="00EE2307">
        <w:rPr>
          <w:sz w:val="16"/>
          <w:szCs w:val="14"/>
        </w:rPr>
        <w:t xml:space="preserve">Background: </w:t>
      </w:r>
      <w:r w:rsidR="00245D0F" w:rsidRPr="00EE2307">
        <w:rPr>
          <w:sz w:val="16"/>
          <w:szCs w:val="14"/>
        </w:rPr>
        <w:t>Scapular dyskinesia is characterized by abnormal scapular movement and impaired neuromuscular control of the scapulothoracic joint. Altered scapular biomechanics can influence shoulder stability, pain perception, and cervical spine mechanics, potentially contributing to neck disability and reduced functional performance. Recreational gym-goers frequently perform repetitive upper-limb resistance exercises, which may increase mechanical stress on the scapular stabilizing musculature; however, limited evidence exists regarding the relationship between scapular dyskinesia, neck disability, and functional performance in this population. Objective: To determine the association between clinically assessed scapular dyskinesia, neck disability, pain intensity, and functional performance among gym-goers. Methods: A cross-sectional observational study was conducted among 187 gym-goers aged 18–35 years recruited from commercial gyms. Scapular dyskinesia was assessed using the Scapular Assistance Test (SAT). Pain intensity was measured using the Numeric Rating Scale (NRS), neck disability using the Neck Disability Index (NDI), and shoulder-related functional performance using the Shoulder Pain and Disability Index (SPADI). Associations between variables were analyzed using the chi-square test with statistical significance set at p &lt; 0.05. Results: Positive SAT findings were observed in 118 participants (63.1%), indicating a high prevalence of scapular dyskinesia. Significant associations were found between SAT results and SPADI functional performance scores (p = 0.002), pain intensity (p &lt; 0.001), and neck disability (p = 0.013). Participants with scapular dyskinesia demonstrated higher frequencies of severe pain and greater levels of functional disability compared with those without dyskinesia. Conclusion: Scapular dyskinesia was significantly associated with increased pain intensity, neck disability, and reduced shoulder-related functional performance among gym-goers. These findings highlight the importance of evaluating scapular mechanics in physically active individuals and support the integration of scapular stabilization strategies within rehabilitation and training programs. Keywords: Scapular dyskinesia, neck disability, shoulder pain, functional performance, gym-goers, shoulder biomechanics.</w:t>
      </w:r>
    </w:p>
    <w:p w14:paraId="58660EF3" w14:textId="77777777" w:rsidR="003E38FB" w:rsidRPr="009A7BAD" w:rsidRDefault="003E38FB" w:rsidP="003E38FB">
      <w:pPr>
        <w:pStyle w:val="NoSpacing"/>
        <w:spacing w:line="276" w:lineRule="auto"/>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pPr>
      <w:r w:rsidRPr="009A7BAD">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_____________________________</w:t>
      </w:r>
      <w:r w:rsidR="0034599F" w:rsidRPr="009A7BAD">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_________________________________________________</w:t>
      </w:r>
      <w:r w:rsidR="00561CD4" w:rsidRPr="009A7BAD">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_________________________________________</w:t>
      </w:r>
    </w:p>
    <w:p w14:paraId="5E58698D" w14:textId="5B52E9A1" w:rsidR="009348F9" w:rsidRPr="009A7BAD" w:rsidRDefault="00794854" w:rsidP="00D82D80">
      <w:pPr>
        <w:pStyle w:val="NoSpacing"/>
        <w:spacing w:line="276" w:lineRule="auto"/>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pPr>
      <w:r w:rsidRPr="009A7BAD">
        <w:rPr>
          <w:rFonts w:ascii="Plantagenet Cherokee" w:hAnsi="Plantagenet Cherokee" w:cstheme="majorBidi"/>
          <w:b/>
          <w:bCs/>
          <w:color w:val="FFFFFF" w:themeColor="background1"/>
          <w:sz w:val="14"/>
          <w:szCs w:val="14"/>
          <w:highlight w:val="darkCyan"/>
          <w14:shadow w14:blurRad="0" w14:dist="0" w14:dir="5400000" w14:sx="0" w14:sy="0" w14:kx="0" w14:ky="0" w14:algn="ctr">
            <w14:srgbClr w14:val="000000">
              <w14:alpha w14:val="51000"/>
            </w14:srgbClr>
          </w14:shadow>
        </w:rPr>
        <w:t>“</w:t>
      </w:r>
      <w:hyperlink r:id="rId8" w:history="1">
        <w:r w:rsidR="009348F9" w:rsidRPr="009A7BAD">
          <w:rPr>
            <w:rStyle w:val="Hyperlink"/>
            <w:rFonts w:ascii="Plantagenet Cherokee" w:hAnsi="Plantagenet Cherokee" w:cstheme="majorBidi"/>
            <w:b/>
            <w:bCs/>
            <w:color w:val="FFFFFF" w:themeColor="background1"/>
            <w:sz w:val="14"/>
            <w:szCs w:val="14"/>
            <w:highlight w:val="darkCyan"/>
            <w:u w:val="none"/>
            <w14:shadow w14:blurRad="0" w14:dist="0" w14:dir="5400000" w14:sx="0" w14:sy="0" w14:kx="0" w14:ky="0" w14:algn="ctr">
              <w14:srgbClr w14:val="000000">
                <w14:alpha w14:val="51000"/>
              </w14:srgbClr>
            </w14:shadow>
          </w:rPr>
          <w:t xml:space="preserve">Cite </w:t>
        </w:r>
        <w:r w:rsidR="008F6C61" w:rsidRPr="009A7BAD">
          <w:rPr>
            <w:rStyle w:val="Hyperlink"/>
            <w:rFonts w:ascii="Plantagenet Cherokee" w:hAnsi="Plantagenet Cherokee" w:cstheme="majorBidi"/>
            <w:b/>
            <w:bCs/>
            <w:color w:val="FFFFFF" w:themeColor="background1"/>
            <w:sz w:val="14"/>
            <w:szCs w:val="14"/>
            <w:highlight w:val="darkCyan"/>
            <w:u w:val="none"/>
            <w14:shadow w14:blurRad="0" w14:dist="0" w14:dir="5400000" w14:sx="0" w14:sy="0" w14:kx="0" w14:ky="0" w14:algn="ctr">
              <w14:srgbClr w14:val="000000">
                <w14:alpha w14:val="51000"/>
              </w14:srgbClr>
            </w14:shadow>
          </w:rPr>
          <w:t>t</w:t>
        </w:r>
        <w:r w:rsidR="009348F9" w:rsidRPr="009A7BAD">
          <w:rPr>
            <w:rStyle w:val="Hyperlink"/>
            <w:rFonts w:ascii="Plantagenet Cherokee" w:hAnsi="Plantagenet Cherokee" w:cstheme="majorBidi"/>
            <w:b/>
            <w:bCs/>
            <w:color w:val="FFFFFF" w:themeColor="background1"/>
            <w:sz w:val="14"/>
            <w:szCs w:val="14"/>
            <w:highlight w:val="darkCyan"/>
            <w:u w:val="none"/>
            <w14:shadow w14:blurRad="0" w14:dist="0" w14:dir="5400000" w14:sx="0" w14:sy="0" w14:kx="0" w14:ky="0" w14:algn="ctr">
              <w14:srgbClr w14:val="000000">
                <w14:alpha w14:val="51000"/>
              </w14:srgbClr>
            </w14:shadow>
          </w:rPr>
          <w:t>his Article</w:t>
        </w:r>
      </w:hyperlink>
      <w:r w:rsidRPr="009A7BAD">
        <w:rPr>
          <w:rFonts w:ascii="Plantagenet Cherokee" w:hAnsi="Plantagenet Cherokee" w:cstheme="majorBidi"/>
          <w:b/>
          <w:bCs/>
          <w:color w:val="FFFFFF" w:themeColor="background1"/>
          <w:sz w:val="14"/>
          <w:szCs w:val="14"/>
          <w:highlight w:val="darkCyan"/>
          <w14:shadow w14:blurRad="0" w14:dist="0" w14:dir="5400000" w14:sx="0" w14:sy="0" w14:kx="0" w14:ky="0" w14:algn="ctr">
            <w14:srgbClr w14:val="000000">
              <w14:alpha w14:val="51000"/>
            </w14:srgbClr>
          </w14:shadow>
        </w:rPr>
        <w:t>”</w:t>
      </w:r>
      <w:r w:rsidR="0034599F" w:rsidRPr="009A7BAD">
        <w:rPr>
          <w:rFonts w:ascii="Plantagenet Cherokee" w:hAnsi="Plantagenet Cherokee" w:cstheme="majorBidi"/>
          <w:color w:val="E8E8E8" w:themeColor="background2"/>
          <w:sz w:val="14"/>
          <w:szCs w:val="14"/>
          <w14:shadow w14:blurRad="0" w14:dist="0" w14:dir="5400000" w14:sx="0" w14:sy="0" w14:kx="0" w14:ky="0" w14:algn="ctr">
            <w14:srgbClr w14:val="000000">
              <w14:alpha w14:val="51000"/>
            </w14:srgbClr>
          </w14:shadow>
        </w:rPr>
        <w:t xml:space="preserve"> </w:t>
      </w:r>
      <w:r w:rsidR="0034599F" w:rsidRPr="009A7BAD">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Received: </w:t>
      </w:r>
      <w:r w:rsidR="00EE2307">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23</w:t>
      </w:r>
      <w:r w:rsidR="0034599F" w:rsidRPr="009A7BAD">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003F158E">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September</w:t>
      </w:r>
      <w:r w:rsidR="00806B3D" w:rsidRPr="009A7BAD">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00662F11" w:rsidRPr="009A7BAD">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202</w:t>
      </w:r>
      <w:r w:rsidR="004B42D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5</w:t>
      </w:r>
      <w:r w:rsidR="0034599F" w:rsidRPr="009A7BAD">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Accepted: </w:t>
      </w:r>
      <w:r w:rsidR="003F158E">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1</w:t>
      </w:r>
      <w:r w:rsidR="00D23A2C">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8</w:t>
      </w:r>
      <w:r w:rsidR="00B56130" w:rsidRPr="009A7BAD">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003F158E">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February</w:t>
      </w:r>
      <w:r w:rsidR="00662F11" w:rsidRPr="009A7BAD">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2026</w:t>
      </w:r>
      <w:r w:rsidR="0034599F" w:rsidRPr="009A7BAD">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Published: </w:t>
      </w:r>
      <w:r w:rsidR="003F158E">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1</w:t>
      </w:r>
      <w:r w:rsidR="005922DA">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2</w:t>
      </w:r>
      <w:r w:rsidR="00662F11" w:rsidRPr="009A7BAD">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003F158E">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March</w:t>
      </w:r>
      <w:r w:rsidR="00662F11" w:rsidRPr="009A7BAD">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2026</w:t>
      </w:r>
      <w:r w:rsidR="0034599F" w:rsidRPr="009A7BAD">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w:t>
      </w:r>
    </w:p>
    <w:p w14:paraId="32C6A9E8" w14:textId="0802C105" w:rsidR="0067099B" w:rsidRPr="009A7BAD" w:rsidRDefault="00E65662" w:rsidP="006D33FF">
      <w:pPr>
        <w:pStyle w:val="NoSpacing"/>
        <w:spacing w:line="276" w:lineRule="auto"/>
        <w:jc w:val="both"/>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pPr>
      <w:r w:rsidRPr="009A7BAD">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 xml:space="preserve">Author Contributions: </w:t>
      </w:r>
      <w:r w:rsidR="004B42D0" w:rsidRPr="004B42D0">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xml:space="preserve">Concept: </w:t>
      </w:r>
      <w:r w:rsidR="00EE2307" w:rsidRPr="00EE2307">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WH; Design: WH, TM; Data Collection: WH, MA, HH, AF; Analysis: WH, MJ; Drafting: WH, TM, MA</w:t>
      </w:r>
      <w:r w:rsidR="00A92F10" w:rsidRPr="009A7BAD">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w:t>
      </w:r>
      <w:r w:rsidR="009C5F04" w:rsidRPr="009A7BAD">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xml:space="preserve"> </w:t>
      </w:r>
      <w:r w:rsidR="009C5F04" w:rsidRPr="009A7BAD">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Ethical Approval</w:t>
      </w:r>
      <w:r w:rsidR="009C5F04" w:rsidRPr="009A7BAD">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xml:space="preserve">: </w:t>
      </w:r>
      <w:r w:rsidR="004B42D0">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Ethical Approval was obtained by respective Institute</w:t>
      </w:r>
      <w:r w:rsidR="006D33FF" w:rsidRPr="009A7BAD">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 xml:space="preserve">. </w:t>
      </w:r>
      <w:r w:rsidR="00BC20F5" w:rsidRPr="009A7BAD">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Informed Consent: Written informed consent was obtained from all participants; Conflict of Interest: The authors declare no conflict of interest; Funding: No external funding; Data Availability: Available from the corresponding author on reasonable request; Acknowledgments: N/A.</w:t>
      </w:r>
    </w:p>
    <w:p w14:paraId="0A70F7F6" w14:textId="77777777" w:rsidR="003E38FB" w:rsidRPr="009A7BAD" w:rsidRDefault="00607EA1" w:rsidP="00E93B79">
      <w:pPr>
        <w:pStyle w:val="Heading1"/>
      </w:pPr>
      <w:r w:rsidRPr="009A7BAD">
        <w:t>Introduction</w:t>
      </w:r>
    </w:p>
    <w:p w14:paraId="599592CA" w14:textId="77777777" w:rsidR="00245D0F" w:rsidRPr="00EE2307" w:rsidRDefault="00245D0F" w:rsidP="00EE2307">
      <w:pPr>
        <w:pStyle w:val="Body"/>
      </w:pPr>
      <w:r w:rsidRPr="00EE2307">
        <w:t xml:space="preserve">Scapular dyskinesia refers to an alteration in the normal position or motion of the scapula during shoulder movement, reflecting impaired neuromuscular control and biomechanical dysfunction of the scapulothoracic joint. Proper scapular motion is essential for maintaining efficient shoulder biomechanics, optimizing glenohumeral stability, and distributing mechanical loads across the upper kinetic chain during arm elevation and overhead activities (1). When scapular movement becomes abnormal, characterized by excessive winging, anterior tilting, or reduced upward rotation, the coordinated interaction between the scapula, humerus, and cervical spine may be disrupted. Such disturbances can compromise shoulder function, narrow the subacromial space, and increase the risk of pain, fatigue, and functional impairment during repetitive upper-extremity tasks (2). These </w:t>
      </w:r>
      <w:r w:rsidRPr="00EE2307">
        <w:lastRenderedPageBreak/>
        <w:t>biomechanical alterations may also affect adjacent anatomical regions, particularly the cervicothoracic junction, thereby contributing to neck discomfort and functional limitations.</w:t>
      </w:r>
    </w:p>
    <w:p w14:paraId="5A2D3FED" w14:textId="77777777" w:rsidR="00245D0F" w:rsidRPr="00EE2307" w:rsidRDefault="00245D0F" w:rsidP="00EE2307">
      <w:pPr>
        <w:pStyle w:val="Body"/>
      </w:pPr>
      <w:r w:rsidRPr="00EE2307">
        <w:t>The pathophysiology of scapular dyskinesia is multifactorial and involves altered muscle activation patterns, fatigue of scapular stabilizing muscles, proprioceptive deficits, and impaired motor control of the scapulothoracic complex (3). Weakness or delayed activation of key stabilizers such as the serratus anterior, lower trapezius, and middle trapezius can lead to abnormal scapular positioning and movement patterns during arm elevation (4). Over time, these dysfunctional patterns may alter the distribution of mechanical stress across the shoulder and cervical regions, potentially contributing to pain and decreased physical performance (5). Previous studies have shown that scapular dyskinesia is frequently observed in individuals engaged in activities involving repetitive or overhead arm movements, including athletes participating in sports such as tennis, baseball, and swimming (6). In such populations, repetitive loading of the shoulder complex can disrupt normal scapular kinematics and increase the likelihood of musculoskeletal injury (7).</w:t>
      </w:r>
    </w:p>
    <w:p w14:paraId="14FA3A32" w14:textId="77777777" w:rsidR="00245D0F" w:rsidRPr="00EE2307" w:rsidRDefault="00245D0F" w:rsidP="00EE2307">
      <w:pPr>
        <w:pStyle w:val="Body"/>
      </w:pPr>
      <w:r w:rsidRPr="00EE2307">
        <w:t>The clinical significance of scapular dyskinesia extends beyond localized shoulder dysfunction. Emerging evidence suggests that abnormal scapular mechanics may influence cervical spine loading and neuromuscular control, potentially contributing to neck pain and disability (8). Altered scapular positioning can disrupt cervicothoracic alignment and modify the activation patterns of neck and shoulder musculature, increasing mechanical stress on cervical structures during dynamic movements (9). These biomechanical changes may reduce cervical range of motion, impair muscular endurance, and compromise functional performance in activities that require coordinated upper-quarter movement (10). Consequently, individuals with scapular dyskinesia may experience not only shoulder-related symptoms but also broader impairments in neck function and daily physical activities.</w:t>
      </w:r>
    </w:p>
    <w:p w14:paraId="5E97547F" w14:textId="77777777" w:rsidR="00245D0F" w:rsidRPr="00EE2307" w:rsidRDefault="00245D0F" w:rsidP="00EE2307">
      <w:pPr>
        <w:pStyle w:val="Body"/>
      </w:pPr>
      <w:r w:rsidRPr="00EE2307">
        <w:t>Several studies have examined the prevalence and clinical implications of scapular dyskinesia in different populations. Research conducted among overhead athletes has reported high prevalence rates, with scapular dysfunction identified in a substantial proportion of individuals with shoulder pain or performance limitations (11). Similarly, investigations in occupational populations have demonstrated a significant association between scapular dyskinesia and neck or shoulder pain, particularly among individuals exposed to prolonged postural stress or repetitive upper-limb tasks (12). In addition, evidence from athletic populations indicates that altered scapular mechanics may influence shoulder strength profiles, functional performance outcomes, and patient-reported disability scores (13). Collectively, these findings highlight the potential role of scapular dyskinesia as a contributing factor to both pain and functional impairment across diverse physical activity contexts.</w:t>
      </w:r>
    </w:p>
    <w:p w14:paraId="6E917F26" w14:textId="77777777" w:rsidR="00245D0F" w:rsidRPr="00EE2307" w:rsidRDefault="00245D0F" w:rsidP="00EE2307">
      <w:pPr>
        <w:pStyle w:val="Body"/>
      </w:pPr>
      <w:r w:rsidRPr="00EE2307">
        <w:t>Despite growing recognition of the clinical relevance of scapular dyskinesia, existing research has predominantly focused on elite athletes, overhead sport participants, or occupational groups. Recreational gym-goers represent a physically active population that frequently engages in resistance training and repetitive upper-body exercises, which may place substantial mechanical demands on the shoulder complex. However, limited empirical evidence is available regarding the relationship between scapular dyskinesia, neck disability, and shoulder-related functional performance in this population. Given the increasing global participation in gym-based fitness training, understanding musculoskeletal risk factors in this group is essential for developing targeted preventive and rehabilitative strategies.</w:t>
      </w:r>
    </w:p>
    <w:p w14:paraId="5EC7CE0A" w14:textId="77777777" w:rsidR="00245D0F" w:rsidRPr="00EE2307" w:rsidRDefault="00245D0F" w:rsidP="00EE2307">
      <w:pPr>
        <w:pStyle w:val="Body"/>
      </w:pPr>
      <w:r w:rsidRPr="00EE2307">
        <w:t>Furthermore, most previous studies have primarily examined either shoulder pain or scapular dysfunction in isolation, with comparatively fewer investigations evaluating their combined association with neck disability and functional performance measures. The interconnected biomechanical relationship between the scapula, shoulder, and cervical spine suggests that dysfunction in one component may influence outcomes across the entire upper-quarter kinetic chain. Therefore, examining these variables simultaneously may provide a more comprehensive understanding of how scapular movement abnormalities relate to pain perception, functional limitations, and disability in physically active individuals.</w:t>
      </w:r>
    </w:p>
    <w:p w14:paraId="32382B94" w14:textId="77777777" w:rsidR="00245D0F" w:rsidRPr="00EE2307" w:rsidRDefault="00245D0F" w:rsidP="00EE2307">
      <w:pPr>
        <w:pStyle w:val="Body"/>
      </w:pPr>
      <w:r w:rsidRPr="00EE2307">
        <w:lastRenderedPageBreak/>
        <w:t>From a clinical and rehabilitation perspective, early identification of scapular dysfunction may allow clinicians, physiotherapists, and strength-training professionals to implement targeted interventions aimed at restoring normal scapular control and improving upper-quarter function. Such interventions typically include strengthening of scapular stabilizing muscles, neuromuscular retraining, and movement pattern correction, which have been shown to improve shoulder mechanics and reduce pain in athletic populations (14). However, the applicability of these findings to recreational gym-goers remains insufficiently explored.</w:t>
      </w:r>
    </w:p>
    <w:p w14:paraId="28DD830B" w14:textId="1FA6DD33" w:rsidR="00D23A2C" w:rsidRPr="00EE2307" w:rsidRDefault="00245D0F" w:rsidP="00EE2307">
      <w:pPr>
        <w:pStyle w:val="Body"/>
      </w:pPr>
      <w:r w:rsidRPr="00EE2307">
        <w:t>Therefore, the present study aimed to investigate the association between clinically assessed scapular dyskinesia and neck disability and functional performance among gym-goers. Specifically, the study evaluated scapular dyskinesia using the Scapular Assistance Test, neck disability using the Neck Disability Index, and shoulder-related pain and functional limitation using the Shoulder Pain and Disability Index. It was hypothesized that gym-goers demonstrating clinical signs of scapular dyskinesia would exhibit higher levels of neck disability, greater pain intensity, and poorer functional performance compared with those without scapular dyskinesia.</w:t>
      </w:r>
    </w:p>
    <w:p w14:paraId="54F9115D" w14:textId="77777777" w:rsidR="00D23A2C" w:rsidRPr="00EE2307" w:rsidRDefault="00D23A2C" w:rsidP="00EE2307">
      <w:pPr>
        <w:pStyle w:val="Heading1"/>
      </w:pPr>
      <w:r w:rsidRPr="00EE2307">
        <w:t>Methods</w:t>
      </w:r>
    </w:p>
    <w:p w14:paraId="6498BD34" w14:textId="77777777" w:rsidR="00245D0F" w:rsidRPr="00EE2307" w:rsidRDefault="00245D0F" w:rsidP="00EE2307">
      <w:pPr>
        <w:pStyle w:val="Body"/>
      </w:pPr>
      <w:r w:rsidRPr="00EE2307">
        <w:t>This cross-sectional observational study was conducted to examine the association between clinically assessed scapular dyskinesia, neck disability, and shoulder-related functional performance among recreational gym-goers. The cross-sectional design was selected because it allows evaluation of relationships between musculoskeletal variables within a defined population at a single point in time without manipulating exposure or outcomes. Such a design is appropriate for exploring biomechanical and clinical associations in physically active populations and has been widely used in musculoskeletal and sports medicine research investigating upper-quarter dysfunction (15). Data collection was carried out at multiple commercial fitness centers located in Lahore, Pakistan, where individuals routinely engage in resistance and fitness training activities.</w:t>
      </w:r>
    </w:p>
    <w:p w14:paraId="529F63E8" w14:textId="77777777" w:rsidR="00245D0F" w:rsidRPr="00EE2307" w:rsidRDefault="00245D0F" w:rsidP="00EE2307">
      <w:pPr>
        <w:pStyle w:val="Body"/>
      </w:pPr>
      <w:r w:rsidRPr="00EE2307">
        <w:t>Participants were recruited from local gyms through direct approach and voluntary participation. Individuals were screened for eligibility prior to enrollment. The inclusion criteria comprised male and female gym-goers aged between 18 and 35 years who had been attending a commercial gym for strength or fitness training at least twice per week for a minimum duration of three months. This criterion ensured that participants had sufficient exposure to gym-based training activities that may influence shoulder and scapular biomechanics. Eligible participants were required to have a body mass index within the range of 18.5–29.9 kg/m² to minimize confounding effects related to underweight or obesity on musculoskeletal function. Individuals were excluded if they had a history of acute or chronic injury involving the neck, shoulder, scapulothoracic region, or acromioclavicular joint, previous cervical or shoulder surgery, known cardiovascular disease limiting physical activity, or diagnosed systemic musculoskeletal conditions such as fibromyalgia. These criteria were applied to reduce confounding from underlying pathology that could independently influence pain, disability, or scapular motion (16).</w:t>
      </w:r>
    </w:p>
    <w:p w14:paraId="47C8AA53" w14:textId="77777777" w:rsidR="00245D0F" w:rsidRPr="00EE2307" w:rsidRDefault="00245D0F" w:rsidP="00EE2307">
      <w:pPr>
        <w:pStyle w:val="Body"/>
      </w:pPr>
      <w:r w:rsidRPr="00EE2307">
        <w:t>Potential participants were informed about the purpose, procedures, and voluntary nature of the study before enrollment. Those who agreed to participate provided written informed consent prior to data collection. Participant recruitment and assessment were conducted by trained physiotherapy researchers using standardized testing procedures. Demographic characteristics including age, sex, height, weight, and body mass index were recorded using a structured questionnaire. Height was measured using a stadiometer and weight using a calibrated digital scale, from which body mass index was calculated using the formula weight in kilograms divided by height in meters squared. Data collection was performed during scheduled visits at participating gyms to ensure minimal disruption to the participants’ regular training routines.</w:t>
      </w:r>
    </w:p>
    <w:p w14:paraId="783B1355" w14:textId="77777777" w:rsidR="00245D0F" w:rsidRPr="00EE2307" w:rsidRDefault="00245D0F" w:rsidP="00EE2307">
      <w:pPr>
        <w:pStyle w:val="Body"/>
      </w:pPr>
      <w:r w:rsidRPr="00EE2307">
        <w:t xml:space="preserve">The primary exposure variable in the study was the presence of scapular dyskinesia, which was clinically assessed using the Scapular Assistance Test (SAT). The SAT is a commonly used clinical assessment </w:t>
      </w:r>
      <w:r w:rsidRPr="00EE2307">
        <w:lastRenderedPageBreak/>
        <w:t>technique to determine whether altered scapular motion contributes to shoulder symptoms during arm elevation (17). During the test, the examiner manually assisted the scapula by applying pressure to facilitate upward rotation and posterior tilt while the participant actively elevated the arm in shoulder flexion. A reduction in pain or improvement in range of motion during assisted movement compared with unassisted movement was considered a positive SAT finding, indicating abnormal scapular motion consistent with scapular dyskinesia. To enhance reliability and reduce measurement bias, the same trained examiner performed all SAT assessments following standardized testing procedures.</w:t>
      </w:r>
    </w:p>
    <w:p w14:paraId="0D619446" w14:textId="77777777" w:rsidR="00245D0F" w:rsidRPr="00EE2307" w:rsidRDefault="00245D0F" w:rsidP="00EE2307">
      <w:pPr>
        <w:pStyle w:val="Body"/>
      </w:pPr>
      <w:r w:rsidRPr="00EE2307">
        <w:t>Pain intensity was assessed using an 11-point Numeric Rating Scale (NRS), which ranges from 0 indicating no pain to 10 representing the worst imaginable pain. The NRS is widely used in clinical and musculoskeletal research due to its strong reliability, validity, and responsiveness for evaluating pain intensity in both acute and chronic conditions (18). Participants were asked to rate their current shoulder or neck pain level during physical activity or exercise. Pain scores were recorded as continuous values and later categorized into clinically meaningful ranges for descriptive analysis.</w:t>
      </w:r>
    </w:p>
    <w:p w14:paraId="73820696" w14:textId="77777777" w:rsidR="00245D0F" w:rsidRPr="00EE2307" w:rsidRDefault="00245D0F" w:rsidP="00EE2307">
      <w:pPr>
        <w:pStyle w:val="Body"/>
      </w:pPr>
      <w:r w:rsidRPr="00EE2307">
        <w:t>Neck-related disability was measured using the Neck Disability Index (NDI), a validated self-reported questionnaire consisting of ten items that assess functional limitations associated with neck pain, including personal care, lifting, reading, work, headaches, concentration, and recreational activities. Each item is scored from 0 to 5, yielding a total score ranging from 0 to 50, with higher scores indicating greater disability (19). The NDI has demonstrated strong reliability and validity across diverse clinical populations and is widely used in studies investigating cervical musculoskeletal disorders. Shoulder-related pain and functional limitation were assessed using the Shoulder Pain and Disability Index (SPADI), a 13-item patient-reported questionnaire composed of pain and disability subscales. Each item is rated on a scale from 0 to 10, and scores are converted into a percentage ranging from 0 to 100, with higher scores indicating greater pain and functional impairment (20). Both questionnaires were self-administered under researcher supervision to ensure accurate completion.</w:t>
      </w:r>
    </w:p>
    <w:p w14:paraId="5E439B6E" w14:textId="77777777" w:rsidR="00245D0F" w:rsidRPr="00EE2307" w:rsidRDefault="00245D0F" w:rsidP="00EE2307">
      <w:pPr>
        <w:pStyle w:val="Body"/>
      </w:pPr>
      <w:r w:rsidRPr="00EE2307">
        <w:t>The primary independent variable in the study was SAT status (positive or negative), representing the presence of clinically observable scapular dyskinesia. Dependent outcome variables included neck disability scores measured by the NDI, shoulder pain and disability measured by the SPADI, and pain intensity measured using the NRS. Demographic variables including age, sex, and body mass index were recorded as potential covariates because these factors may influence musculoskeletal pain perception and functional capacity in physically active populations. Standardized data collection protocols were used to minimize information bias and ensure consistent assessment conditions for all participants.</w:t>
      </w:r>
    </w:p>
    <w:p w14:paraId="62AEBD60" w14:textId="77777777" w:rsidR="00245D0F" w:rsidRPr="00EE2307" w:rsidRDefault="00245D0F" w:rsidP="00EE2307">
      <w:pPr>
        <w:pStyle w:val="Body"/>
      </w:pPr>
      <w:r w:rsidRPr="00EE2307">
        <w:t xml:space="preserve">The sample size was determined using </w:t>
      </w:r>
      <w:proofErr w:type="spellStart"/>
      <w:r w:rsidRPr="00EE2307">
        <w:t>OpenEpi</w:t>
      </w:r>
      <w:proofErr w:type="spellEnd"/>
      <w:r w:rsidRPr="00EE2307">
        <w:t xml:space="preserve"> statistical software based on prevalence estimates reported in previous studies examining the association between scapular dyskinesia and neck or shoulder dysfunction in physically active populations (21). Using a 95% confidence level and an anticipated prevalence proportion derived from earlier literature, the calculated sample size ensured adequate statistical power to detect significant associations between scapular dyskinesia and the clinical outcome variables. A total of 187 participants were included in the final analysis.</w:t>
      </w:r>
    </w:p>
    <w:p w14:paraId="64A3F3B9" w14:textId="77777777" w:rsidR="00245D0F" w:rsidRPr="00EE2307" w:rsidRDefault="00245D0F" w:rsidP="00EE2307">
      <w:pPr>
        <w:pStyle w:val="Body"/>
      </w:pPr>
      <w:r w:rsidRPr="00EE2307">
        <w:t>Data were entered and analyzed using the Statistical Package for the Social Sciences (SPSS) version 27.0. Continuous variables such as age, height, weight, and questionnaire scores were summarized using means and standard deviations, while categorical variables were presented as frequencies and percentages. The association between scapular dyskinesia status and categorical outcome variables, including categories of pain intensity, neck disability, and SPADI functional scores, was evaluated using the chi-square test of independence. Statistical significance was defined as a p-value less than 0.05. Prior to analysis, data were screened for completeness and internal consistency to ensure accuracy. Cases with incomplete questionnaire responses were excluded from the final dataset to maintain analytical integrity.</w:t>
      </w:r>
    </w:p>
    <w:p w14:paraId="0280FEFB" w14:textId="7836D404" w:rsidR="00D23A2C" w:rsidRPr="00EE2307" w:rsidRDefault="00245D0F" w:rsidP="00EE2307">
      <w:pPr>
        <w:pStyle w:val="Body"/>
      </w:pPr>
      <w:r w:rsidRPr="00EE2307">
        <w:lastRenderedPageBreak/>
        <w:t>Ethical approval for the study was obtained from the institutional ethics review committee prior to participant recruitment. The study procedures were conducted in accordance with the ethical principles outlined in the Declaration of Helsinki. Participants were assured that their participation was voluntary and that they could withdraw from the study at any time without any consequences. All collected data were anonymized and stored securely to maintain participant confidentiality. Standardized measurement protocols, consistent examiner training, and systematic data entry procedures were implemented to enhance reproducibility and ensure the reliability and integrity of the collected data.</w:t>
      </w:r>
    </w:p>
    <w:p w14:paraId="29C2A379" w14:textId="77777777" w:rsidR="00D23A2C" w:rsidRPr="00EE2307" w:rsidRDefault="00D23A2C" w:rsidP="00EE2307">
      <w:pPr>
        <w:pStyle w:val="Heading1"/>
      </w:pPr>
      <w:r w:rsidRPr="00EE2307">
        <w:t>Results</w:t>
      </w:r>
    </w:p>
    <w:p w14:paraId="15F4CE6B" w14:textId="77777777" w:rsidR="00245D0F" w:rsidRPr="00EE2307" w:rsidRDefault="00245D0F" w:rsidP="00EE2307">
      <w:pPr>
        <w:pStyle w:val="Body"/>
      </w:pPr>
      <w:r w:rsidRPr="00EE2307">
        <w:t>The study included 187 gym-goers with a mean age of 25.75 ± 5.11 years (range 18–35 years). The mean height and weight of the participants were 176.64 ± 14.46 cm and 69.36 ± 12.43 kg, respectively. In terms of sex distribution, 97 participants (51.9%) were male, while 90 participants (48.1%) were female, indicating a relatively balanced representation of both sexes. Regarding body mass index classification, the majority of the sample (178 participants, 95.2%) fell within the normal BMI range, whereas only 9 participants (4.8%) were categorized as overweight, suggesting that most individuals in the sample had body compositions consistent with general fitness participation.</w:t>
      </w:r>
    </w:p>
    <w:p w14:paraId="6B9F945E" w14:textId="77777777" w:rsidR="00245D0F" w:rsidRPr="00EE2307" w:rsidRDefault="00245D0F" w:rsidP="00EE2307">
      <w:pPr>
        <w:pStyle w:val="Body"/>
      </w:pPr>
      <w:r w:rsidRPr="00EE2307">
        <w:t>Pain intensity measured using the Numeric Rating Scale (NRS) demonstrated varying levels of pain among participants. A total of 43 participants (23.0%) reported no pain, while 47 participants (25.1%) experienced mild pain. The largest proportion of the sample, 65 participants (34.8%), reported moderate pain, indicating that mild to moderate discomfort was common among gym-goers. More severe pain categories were less frequent, with 12 participants (6.4%) reporting severe pain, 11 participants (5.9%) experiencing very severe pain, and 9 participants (4.8%) reporting the worst possible pain. These findings indicate that although a considerable proportion of participants experienced some degree of musculoskeletal pain, extreme pain levels were relatively uncommon.</w:t>
      </w:r>
    </w:p>
    <w:p w14:paraId="33FE54E0" w14:textId="341A24AA" w:rsidR="00245D0F" w:rsidRPr="00EE2307" w:rsidRDefault="00245D0F" w:rsidP="00EE2307">
      <w:pPr>
        <w:pStyle w:val="Body"/>
      </w:pPr>
      <w:r w:rsidRPr="00EE2307">
        <w:t>The Scapular Assistance Test (SAT) revealed that 118 participants (63.1%) had a positive SAT result, indicating the presence of scapular dyskinesia, whereas 69 participants (36.9%) had a negative SAT result. This suggests that nearly two-thirds of the gym-going population in the study demonstrated altered scapular movement patterns, highlighting the relatively high prevalence of scapular dyskinesia within this physically active population.</w:t>
      </w:r>
      <w:r w:rsidR="00EE2307">
        <w:t xml:space="preserve"> </w:t>
      </w:r>
      <w:r w:rsidRPr="00EE2307">
        <w:t>Analysis of the relationship between scapular dyskinesia and functional performance assessed using the Shoulder Pain and Disability Index (SPADI) showed a statistically significant association (p = 0.002, Cramér’s V = 0.28). Among participants with moderate SPADI scores (21–40), 4 out of 5 individuals (80%) demonstrated positive SAT findings, while only 1 participant (20%) had a negative SAT result. In the severe SPADI category (41–60), 37 participants (48.7%) were SAT positive compared with 39 participants (51.3%) who were SAT negative. A more pronounced difference was observed in the very severe SPADI category (61–80), where 69 participants (70.4%) had positive SAT findings compared with 29 participants (29.6%) with negative SAT results. In the extremely severe SPADI category (81–100), all 8 participants (100%) demonstrated positive SAT results. These results indicate that participants with scapular dyskinesia were disproportionately represented in the higher disability categories, suggesting poorer shoulder-related functional performance among individuals with altered scapular mechanics.</w:t>
      </w:r>
    </w:p>
    <w:p w14:paraId="3F0AF4AF" w14:textId="77777777" w:rsidR="00245D0F" w:rsidRPr="00EE2307" w:rsidRDefault="00245D0F" w:rsidP="00EE2307">
      <w:pPr>
        <w:pStyle w:val="Body"/>
      </w:pPr>
      <w:r w:rsidRPr="00EE2307">
        <w:t xml:space="preserve">A significant relationship was also identified between pain intensity and scapular dyskinesia (p &lt; 0.001, Cramér’s V = 0.41). Among participants reporting mild pain, 10 individuals (55.6%) had positive SAT findings compared with 8 individuals (44.4%) who were SAT negative. In the moderate pain category, 29 participants (39.2%) were SAT positive, while 45 participants (60.8%) were SAT negative. However, a marked increase in SAT positivity was observed in higher pain categories. In the severe pain category, 58 participants (84.1%) had positive SAT findings compared with 11 participants (15.9%) with negative SAT results. Similarly, in the very severe pain category, 11 participants (73.3%) were SAT positive and 4 participants (26.7%) were SAT negative. Among individuals reporting the worst possible pain, 8 out of 9 </w:t>
      </w:r>
      <w:r w:rsidRPr="00EE2307">
        <w:lastRenderedPageBreak/>
        <w:t>participants (88.9%) demonstrated positive SAT results. These findings suggest that increasing pain intensity is strongly associated with the presence of scapular dyskinesia.</w:t>
      </w:r>
    </w:p>
    <w:p w14:paraId="2259B937" w14:textId="77777777" w:rsidR="00245D0F" w:rsidRPr="00EE2307" w:rsidRDefault="00245D0F" w:rsidP="00EE2307">
      <w:pPr>
        <w:pStyle w:val="Body"/>
      </w:pPr>
      <w:r w:rsidRPr="00EE2307">
        <w:t>The relationship between scapular dyskinesia and neck disability, measured using the Neck Disability Index (NDI), was also statistically significant (p = 0.013, Cramér’s V = 0.21). Within the moderate disability category, 47 participants (53.4%) were SAT positive, while 41 participants (46.6%) were SAT negative. In the severe disability category, the proportion of SAT-positive participants increased to 56 individuals (66.7%), compared with 28 individuals (33.3%) with negative SAT findings. Notably, within the complete disability category, all 15 participants (100%) demonstrated positive SAT results. These findings indicate that higher levels of neck disability were more frequently observed among participants with scapular dyskinesia, supporting the presence of an association between altered scapular mechanics and cervical functional impairment.</w:t>
      </w:r>
    </w:p>
    <w:p w14:paraId="6DC18FA6" w14:textId="3E483C3B" w:rsidR="00245D0F" w:rsidRPr="00EE2307" w:rsidRDefault="00245D0F" w:rsidP="00EE2307">
      <w:pPr>
        <w:pStyle w:val="Caption"/>
        <w:rPr>
          <w:sz w:val="18"/>
          <w:szCs w:val="18"/>
        </w:rPr>
      </w:pPr>
      <w:r w:rsidRPr="00EE2307">
        <w:rPr>
          <w:sz w:val="18"/>
          <w:szCs w:val="18"/>
        </w:rPr>
        <w:t>Table 1 Demographic and baseline characteristics of participants (n = 187)</w:t>
      </w:r>
    </w:p>
    <w:tbl>
      <w:tblPr>
        <w:tblStyle w:val="GridTable1Light"/>
        <w:tblW w:w="5000" w:type="pct"/>
        <w:tblLook w:val="04A0" w:firstRow="1" w:lastRow="0" w:firstColumn="1" w:lastColumn="0" w:noHBand="0" w:noVBand="1"/>
      </w:tblPr>
      <w:tblGrid>
        <w:gridCol w:w="3041"/>
        <w:gridCol w:w="2623"/>
        <w:gridCol w:w="1540"/>
        <w:gridCol w:w="1823"/>
      </w:tblGrid>
      <w:tr w:rsidR="00245D0F" w:rsidRPr="00EE2307" w14:paraId="664E8020" w14:textId="77777777" w:rsidTr="00245D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6" w:type="pct"/>
            <w:hideMark/>
          </w:tcPr>
          <w:p w14:paraId="35B0B649" w14:textId="77777777" w:rsidR="00245D0F" w:rsidRPr="00EE2307" w:rsidRDefault="00245D0F" w:rsidP="00EE2307">
            <w:pPr>
              <w:pStyle w:val="Body"/>
              <w:rPr>
                <w:sz w:val="18"/>
              </w:rPr>
            </w:pPr>
            <w:r w:rsidRPr="00EE2307">
              <w:rPr>
                <w:sz w:val="18"/>
              </w:rPr>
              <w:t>Variable</w:t>
            </w:r>
          </w:p>
        </w:tc>
        <w:tc>
          <w:tcPr>
            <w:tcW w:w="1412" w:type="pct"/>
            <w:hideMark/>
          </w:tcPr>
          <w:p w14:paraId="574DE669" w14:textId="77777777" w:rsidR="00245D0F" w:rsidRPr="00EE2307" w:rsidRDefault="00245D0F" w:rsidP="00EE2307">
            <w:pPr>
              <w:pStyle w:val="Body"/>
              <w:cnfStyle w:val="100000000000" w:firstRow="1" w:lastRow="0" w:firstColumn="0" w:lastColumn="0" w:oddVBand="0" w:evenVBand="0" w:oddHBand="0" w:evenHBand="0" w:firstRowFirstColumn="0" w:firstRowLastColumn="0" w:lastRowFirstColumn="0" w:lastRowLastColumn="0"/>
              <w:rPr>
                <w:sz w:val="18"/>
              </w:rPr>
            </w:pPr>
            <w:r w:rsidRPr="00EE2307">
              <w:rPr>
                <w:sz w:val="18"/>
              </w:rPr>
              <w:t>Mean ± SD</w:t>
            </w:r>
          </w:p>
        </w:tc>
        <w:tc>
          <w:tcPr>
            <w:tcW w:w="829" w:type="pct"/>
            <w:hideMark/>
          </w:tcPr>
          <w:p w14:paraId="628D2674" w14:textId="77777777" w:rsidR="00245D0F" w:rsidRPr="00EE2307" w:rsidRDefault="00245D0F" w:rsidP="00EE2307">
            <w:pPr>
              <w:pStyle w:val="Body"/>
              <w:cnfStyle w:val="100000000000" w:firstRow="1" w:lastRow="0" w:firstColumn="0" w:lastColumn="0" w:oddVBand="0" w:evenVBand="0" w:oddHBand="0" w:evenHBand="0" w:firstRowFirstColumn="0" w:firstRowLastColumn="0" w:lastRowFirstColumn="0" w:lastRowLastColumn="0"/>
              <w:rPr>
                <w:sz w:val="18"/>
              </w:rPr>
            </w:pPr>
            <w:r w:rsidRPr="00EE2307">
              <w:rPr>
                <w:sz w:val="18"/>
              </w:rPr>
              <w:t>Range</w:t>
            </w:r>
          </w:p>
        </w:tc>
        <w:tc>
          <w:tcPr>
            <w:tcW w:w="981" w:type="pct"/>
            <w:hideMark/>
          </w:tcPr>
          <w:p w14:paraId="5C0927F3" w14:textId="77777777" w:rsidR="00245D0F" w:rsidRPr="00EE2307" w:rsidRDefault="00245D0F" w:rsidP="00EE2307">
            <w:pPr>
              <w:pStyle w:val="Body"/>
              <w:cnfStyle w:val="100000000000" w:firstRow="1" w:lastRow="0" w:firstColumn="0" w:lastColumn="0" w:oddVBand="0" w:evenVBand="0" w:oddHBand="0" w:evenHBand="0" w:firstRowFirstColumn="0" w:firstRowLastColumn="0" w:lastRowFirstColumn="0" w:lastRowLastColumn="0"/>
              <w:rPr>
                <w:sz w:val="18"/>
              </w:rPr>
            </w:pPr>
            <w:r w:rsidRPr="00EE2307">
              <w:rPr>
                <w:sz w:val="18"/>
              </w:rPr>
              <w:t>n (%)</w:t>
            </w:r>
          </w:p>
        </w:tc>
      </w:tr>
      <w:tr w:rsidR="00245D0F" w:rsidRPr="00EE2307" w14:paraId="04A42F8B" w14:textId="77777777" w:rsidTr="00245D0F">
        <w:tc>
          <w:tcPr>
            <w:cnfStyle w:val="001000000000" w:firstRow="0" w:lastRow="0" w:firstColumn="1" w:lastColumn="0" w:oddVBand="0" w:evenVBand="0" w:oddHBand="0" w:evenHBand="0" w:firstRowFirstColumn="0" w:firstRowLastColumn="0" w:lastRowFirstColumn="0" w:lastRowLastColumn="0"/>
            <w:tcW w:w="1636" w:type="pct"/>
            <w:hideMark/>
          </w:tcPr>
          <w:p w14:paraId="6C962636" w14:textId="77777777" w:rsidR="00245D0F" w:rsidRPr="00EE2307" w:rsidRDefault="00245D0F" w:rsidP="00EE2307">
            <w:pPr>
              <w:pStyle w:val="Body"/>
              <w:rPr>
                <w:sz w:val="18"/>
              </w:rPr>
            </w:pPr>
            <w:r w:rsidRPr="00EE2307">
              <w:rPr>
                <w:sz w:val="18"/>
              </w:rPr>
              <w:t>Age (years)</w:t>
            </w:r>
          </w:p>
        </w:tc>
        <w:tc>
          <w:tcPr>
            <w:tcW w:w="1412" w:type="pct"/>
            <w:hideMark/>
          </w:tcPr>
          <w:p w14:paraId="5744D69C"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25.75 ± 5.11</w:t>
            </w:r>
          </w:p>
        </w:tc>
        <w:tc>
          <w:tcPr>
            <w:tcW w:w="829" w:type="pct"/>
            <w:hideMark/>
          </w:tcPr>
          <w:p w14:paraId="06E9F538"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18–35</w:t>
            </w:r>
          </w:p>
        </w:tc>
        <w:tc>
          <w:tcPr>
            <w:tcW w:w="981" w:type="pct"/>
            <w:hideMark/>
          </w:tcPr>
          <w:p w14:paraId="587110F3"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w:t>
            </w:r>
          </w:p>
        </w:tc>
      </w:tr>
      <w:tr w:rsidR="00245D0F" w:rsidRPr="00EE2307" w14:paraId="74A04488" w14:textId="77777777" w:rsidTr="00245D0F">
        <w:tc>
          <w:tcPr>
            <w:cnfStyle w:val="001000000000" w:firstRow="0" w:lastRow="0" w:firstColumn="1" w:lastColumn="0" w:oddVBand="0" w:evenVBand="0" w:oddHBand="0" w:evenHBand="0" w:firstRowFirstColumn="0" w:firstRowLastColumn="0" w:lastRowFirstColumn="0" w:lastRowLastColumn="0"/>
            <w:tcW w:w="1636" w:type="pct"/>
            <w:hideMark/>
          </w:tcPr>
          <w:p w14:paraId="29C0A53D" w14:textId="77777777" w:rsidR="00245D0F" w:rsidRPr="00EE2307" w:rsidRDefault="00245D0F" w:rsidP="00EE2307">
            <w:pPr>
              <w:pStyle w:val="Body"/>
              <w:rPr>
                <w:sz w:val="18"/>
              </w:rPr>
            </w:pPr>
            <w:r w:rsidRPr="00EE2307">
              <w:rPr>
                <w:sz w:val="18"/>
              </w:rPr>
              <w:t>Height (cm)</w:t>
            </w:r>
          </w:p>
        </w:tc>
        <w:tc>
          <w:tcPr>
            <w:tcW w:w="1412" w:type="pct"/>
            <w:hideMark/>
          </w:tcPr>
          <w:p w14:paraId="5E8FE269"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176.64 ± 14.46</w:t>
            </w:r>
          </w:p>
        </w:tc>
        <w:tc>
          <w:tcPr>
            <w:tcW w:w="829" w:type="pct"/>
            <w:hideMark/>
          </w:tcPr>
          <w:p w14:paraId="50EDBA66"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150–200</w:t>
            </w:r>
          </w:p>
        </w:tc>
        <w:tc>
          <w:tcPr>
            <w:tcW w:w="981" w:type="pct"/>
            <w:hideMark/>
          </w:tcPr>
          <w:p w14:paraId="4B14B63E"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w:t>
            </w:r>
          </w:p>
        </w:tc>
      </w:tr>
      <w:tr w:rsidR="00245D0F" w:rsidRPr="00EE2307" w14:paraId="758D9597" w14:textId="77777777" w:rsidTr="00245D0F">
        <w:tc>
          <w:tcPr>
            <w:cnfStyle w:val="001000000000" w:firstRow="0" w:lastRow="0" w:firstColumn="1" w:lastColumn="0" w:oddVBand="0" w:evenVBand="0" w:oddHBand="0" w:evenHBand="0" w:firstRowFirstColumn="0" w:firstRowLastColumn="0" w:lastRowFirstColumn="0" w:lastRowLastColumn="0"/>
            <w:tcW w:w="1636" w:type="pct"/>
            <w:hideMark/>
          </w:tcPr>
          <w:p w14:paraId="437217B5" w14:textId="77777777" w:rsidR="00245D0F" w:rsidRPr="00EE2307" w:rsidRDefault="00245D0F" w:rsidP="00EE2307">
            <w:pPr>
              <w:pStyle w:val="Body"/>
              <w:rPr>
                <w:sz w:val="18"/>
              </w:rPr>
            </w:pPr>
            <w:r w:rsidRPr="00EE2307">
              <w:rPr>
                <w:sz w:val="18"/>
              </w:rPr>
              <w:t>Weight (kg)</w:t>
            </w:r>
          </w:p>
        </w:tc>
        <w:tc>
          <w:tcPr>
            <w:tcW w:w="1412" w:type="pct"/>
            <w:hideMark/>
          </w:tcPr>
          <w:p w14:paraId="0B044FCD"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69.36 ± 12.43</w:t>
            </w:r>
          </w:p>
        </w:tc>
        <w:tc>
          <w:tcPr>
            <w:tcW w:w="829" w:type="pct"/>
            <w:hideMark/>
          </w:tcPr>
          <w:p w14:paraId="3F76252B"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42.7–99</w:t>
            </w:r>
          </w:p>
        </w:tc>
        <w:tc>
          <w:tcPr>
            <w:tcW w:w="981" w:type="pct"/>
            <w:hideMark/>
          </w:tcPr>
          <w:p w14:paraId="327CB737"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w:t>
            </w:r>
          </w:p>
        </w:tc>
      </w:tr>
      <w:tr w:rsidR="00245D0F" w:rsidRPr="00EE2307" w14:paraId="400F1529" w14:textId="77777777" w:rsidTr="00245D0F">
        <w:tc>
          <w:tcPr>
            <w:cnfStyle w:val="001000000000" w:firstRow="0" w:lastRow="0" w:firstColumn="1" w:lastColumn="0" w:oddVBand="0" w:evenVBand="0" w:oddHBand="0" w:evenHBand="0" w:firstRowFirstColumn="0" w:firstRowLastColumn="0" w:lastRowFirstColumn="0" w:lastRowLastColumn="0"/>
            <w:tcW w:w="1636" w:type="pct"/>
            <w:hideMark/>
          </w:tcPr>
          <w:p w14:paraId="53B0AF2D" w14:textId="77777777" w:rsidR="00245D0F" w:rsidRPr="00EE2307" w:rsidRDefault="00245D0F" w:rsidP="00EE2307">
            <w:pPr>
              <w:pStyle w:val="Body"/>
              <w:rPr>
                <w:sz w:val="18"/>
              </w:rPr>
            </w:pPr>
            <w:r w:rsidRPr="00EE2307">
              <w:rPr>
                <w:sz w:val="18"/>
              </w:rPr>
              <w:t>Sex</w:t>
            </w:r>
          </w:p>
        </w:tc>
        <w:tc>
          <w:tcPr>
            <w:tcW w:w="1412" w:type="pct"/>
            <w:hideMark/>
          </w:tcPr>
          <w:p w14:paraId="3C3D2BC9"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w:t>
            </w:r>
          </w:p>
        </w:tc>
        <w:tc>
          <w:tcPr>
            <w:tcW w:w="829" w:type="pct"/>
            <w:hideMark/>
          </w:tcPr>
          <w:p w14:paraId="11C5A114"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w:t>
            </w:r>
          </w:p>
        </w:tc>
        <w:tc>
          <w:tcPr>
            <w:tcW w:w="981" w:type="pct"/>
            <w:hideMark/>
          </w:tcPr>
          <w:p w14:paraId="65C134AF"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p>
        </w:tc>
      </w:tr>
      <w:tr w:rsidR="00245D0F" w:rsidRPr="00EE2307" w14:paraId="038A9C00" w14:textId="77777777" w:rsidTr="00245D0F">
        <w:tc>
          <w:tcPr>
            <w:cnfStyle w:val="001000000000" w:firstRow="0" w:lastRow="0" w:firstColumn="1" w:lastColumn="0" w:oddVBand="0" w:evenVBand="0" w:oddHBand="0" w:evenHBand="0" w:firstRowFirstColumn="0" w:firstRowLastColumn="0" w:lastRowFirstColumn="0" w:lastRowLastColumn="0"/>
            <w:tcW w:w="1636" w:type="pct"/>
            <w:hideMark/>
          </w:tcPr>
          <w:p w14:paraId="1DAB9BD7" w14:textId="77777777" w:rsidR="00245D0F" w:rsidRPr="00EE2307" w:rsidRDefault="00245D0F" w:rsidP="00EE2307">
            <w:pPr>
              <w:pStyle w:val="Body"/>
              <w:rPr>
                <w:sz w:val="18"/>
              </w:rPr>
            </w:pPr>
            <w:r w:rsidRPr="00EE2307">
              <w:rPr>
                <w:sz w:val="18"/>
              </w:rPr>
              <w:t> </w:t>
            </w:r>
            <w:r w:rsidRPr="00EE2307">
              <w:rPr>
                <w:sz w:val="18"/>
              </w:rPr>
              <w:t>Male</w:t>
            </w:r>
          </w:p>
        </w:tc>
        <w:tc>
          <w:tcPr>
            <w:tcW w:w="1412" w:type="pct"/>
            <w:hideMark/>
          </w:tcPr>
          <w:p w14:paraId="5B8647B1"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w:t>
            </w:r>
          </w:p>
        </w:tc>
        <w:tc>
          <w:tcPr>
            <w:tcW w:w="829" w:type="pct"/>
            <w:hideMark/>
          </w:tcPr>
          <w:p w14:paraId="4979412B"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w:t>
            </w:r>
          </w:p>
        </w:tc>
        <w:tc>
          <w:tcPr>
            <w:tcW w:w="981" w:type="pct"/>
            <w:hideMark/>
          </w:tcPr>
          <w:p w14:paraId="4BC5EFBA"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97 (51.9)</w:t>
            </w:r>
          </w:p>
        </w:tc>
      </w:tr>
      <w:tr w:rsidR="00245D0F" w:rsidRPr="00EE2307" w14:paraId="3D77D4A4" w14:textId="77777777" w:rsidTr="00245D0F">
        <w:tc>
          <w:tcPr>
            <w:cnfStyle w:val="001000000000" w:firstRow="0" w:lastRow="0" w:firstColumn="1" w:lastColumn="0" w:oddVBand="0" w:evenVBand="0" w:oddHBand="0" w:evenHBand="0" w:firstRowFirstColumn="0" w:firstRowLastColumn="0" w:lastRowFirstColumn="0" w:lastRowLastColumn="0"/>
            <w:tcW w:w="1636" w:type="pct"/>
            <w:hideMark/>
          </w:tcPr>
          <w:p w14:paraId="778F4EEA" w14:textId="77777777" w:rsidR="00245D0F" w:rsidRPr="00EE2307" w:rsidRDefault="00245D0F" w:rsidP="00EE2307">
            <w:pPr>
              <w:pStyle w:val="Body"/>
              <w:rPr>
                <w:sz w:val="18"/>
              </w:rPr>
            </w:pPr>
            <w:r w:rsidRPr="00EE2307">
              <w:rPr>
                <w:sz w:val="18"/>
              </w:rPr>
              <w:t> </w:t>
            </w:r>
            <w:r w:rsidRPr="00EE2307">
              <w:rPr>
                <w:sz w:val="18"/>
              </w:rPr>
              <w:t>Female</w:t>
            </w:r>
          </w:p>
        </w:tc>
        <w:tc>
          <w:tcPr>
            <w:tcW w:w="1412" w:type="pct"/>
            <w:hideMark/>
          </w:tcPr>
          <w:p w14:paraId="4FD35993"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w:t>
            </w:r>
          </w:p>
        </w:tc>
        <w:tc>
          <w:tcPr>
            <w:tcW w:w="829" w:type="pct"/>
            <w:hideMark/>
          </w:tcPr>
          <w:p w14:paraId="7A202BE6"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w:t>
            </w:r>
          </w:p>
        </w:tc>
        <w:tc>
          <w:tcPr>
            <w:tcW w:w="981" w:type="pct"/>
            <w:hideMark/>
          </w:tcPr>
          <w:p w14:paraId="3F410C0B"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90 (48.1)</w:t>
            </w:r>
          </w:p>
        </w:tc>
      </w:tr>
      <w:tr w:rsidR="00245D0F" w:rsidRPr="00EE2307" w14:paraId="65DE8B1A" w14:textId="77777777" w:rsidTr="00245D0F">
        <w:tc>
          <w:tcPr>
            <w:cnfStyle w:val="001000000000" w:firstRow="0" w:lastRow="0" w:firstColumn="1" w:lastColumn="0" w:oddVBand="0" w:evenVBand="0" w:oddHBand="0" w:evenHBand="0" w:firstRowFirstColumn="0" w:firstRowLastColumn="0" w:lastRowFirstColumn="0" w:lastRowLastColumn="0"/>
            <w:tcW w:w="1636" w:type="pct"/>
            <w:hideMark/>
          </w:tcPr>
          <w:p w14:paraId="39257ED4" w14:textId="77777777" w:rsidR="00245D0F" w:rsidRPr="00EE2307" w:rsidRDefault="00245D0F" w:rsidP="00EE2307">
            <w:pPr>
              <w:pStyle w:val="Body"/>
              <w:rPr>
                <w:sz w:val="18"/>
              </w:rPr>
            </w:pPr>
            <w:r w:rsidRPr="00EE2307">
              <w:rPr>
                <w:sz w:val="18"/>
              </w:rPr>
              <w:t>BMI Category</w:t>
            </w:r>
          </w:p>
        </w:tc>
        <w:tc>
          <w:tcPr>
            <w:tcW w:w="1412" w:type="pct"/>
            <w:hideMark/>
          </w:tcPr>
          <w:p w14:paraId="6E7F7064"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w:t>
            </w:r>
          </w:p>
        </w:tc>
        <w:tc>
          <w:tcPr>
            <w:tcW w:w="829" w:type="pct"/>
            <w:hideMark/>
          </w:tcPr>
          <w:p w14:paraId="2A07A351"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w:t>
            </w:r>
          </w:p>
        </w:tc>
        <w:tc>
          <w:tcPr>
            <w:tcW w:w="981" w:type="pct"/>
            <w:hideMark/>
          </w:tcPr>
          <w:p w14:paraId="02111EFD"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p>
        </w:tc>
      </w:tr>
      <w:tr w:rsidR="00245D0F" w:rsidRPr="00EE2307" w14:paraId="1AD12517" w14:textId="77777777" w:rsidTr="00245D0F">
        <w:tc>
          <w:tcPr>
            <w:cnfStyle w:val="001000000000" w:firstRow="0" w:lastRow="0" w:firstColumn="1" w:lastColumn="0" w:oddVBand="0" w:evenVBand="0" w:oddHBand="0" w:evenHBand="0" w:firstRowFirstColumn="0" w:firstRowLastColumn="0" w:lastRowFirstColumn="0" w:lastRowLastColumn="0"/>
            <w:tcW w:w="1636" w:type="pct"/>
            <w:hideMark/>
          </w:tcPr>
          <w:p w14:paraId="258B5152" w14:textId="77777777" w:rsidR="00245D0F" w:rsidRPr="00EE2307" w:rsidRDefault="00245D0F" w:rsidP="00EE2307">
            <w:pPr>
              <w:pStyle w:val="Body"/>
              <w:rPr>
                <w:sz w:val="18"/>
              </w:rPr>
            </w:pPr>
            <w:r w:rsidRPr="00EE2307">
              <w:rPr>
                <w:sz w:val="18"/>
              </w:rPr>
              <w:t> </w:t>
            </w:r>
            <w:r w:rsidRPr="00EE2307">
              <w:rPr>
                <w:sz w:val="18"/>
              </w:rPr>
              <w:t>Normal weight</w:t>
            </w:r>
          </w:p>
        </w:tc>
        <w:tc>
          <w:tcPr>
            <w:tcW w:w="1412" w:type="pct"/>
            <w:hideMark/>
          </w:tcPr>
          <w:p w14:paraId="6CBB7E58"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w:t>
            </w:r>
          </w:p>
        </w:tc>
        <w:tc>
          <w:tcPr>
            <w:tcW w:w="829" w:type="pct"/>
            <w:hideMark/>
          </w:tcPr>
          <w:p w14:paraId="6FEAE1B7"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w:t>
            </w:r>
          </w:p>
        </w:tc>
        <w:tc>
          <w:tcPr>
            <w:tcW w:w="981" w:type="pct"/>
            <w:hideMark/>
          </w:tcPr>
          <w:p w14:paraId="20E20B1D"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178 (95.2)</w:t>
            </w:r>
          </w:p>
        </w:tc>
      </w:tr>
      <w:tr w:rsidR="00245D0F" w:rsidRPr="00EE2307" w14:paraId="5F064E39" w14:textId="77777777" w:rsidTr="00245D0F">
        <w:tc>
          <w:tcPr>
            <w:cnfStyle w:val="001000000000" w:firstRow="0" w:lastRow="0" w:firstColumn="1" w:lastColumn="0" w:oddVBand="0" w:evenVBand="0" w:oddHBand="0" w:evenHBand="0" w:firstRowFirstColumn="0" w:firstRowLastColumn="0" w:lastRowFirstColumn="0" w:lastRowLastColumn="0"/>
            <w:tcW w:w="1636" w:type="pct"/>
            <w:hideMark/>
          </w:tcPr>
          <w:p w14:paraId="648896C1" w14:textId="77777777" w:rsidR="00245D0F" w:rsidRPr="00EE2307" w:rsidRDefault="00245D0F" w:rsidP="00EE2307">
            <w:pPr>
              <w:pStyle w:val="Body"/>
              <w:rPr>
                <w:sz w:val="18"/>
              </w:rPr>
            </w:pPr>
            <w:r w:rsidRPr="00EE2307">
              <w:rPr>
                <w:sz w:val="18"/>
              </w:rPr>
              <w:t> </w:t>
            </w:r>
            <w:r w:rsidRPr="00EE2307">
              <w:rPr>
                <w:sz w:val="18"/>
              </w:rPr>
              <w:t>Overweight</w:t>
            </w:r>
          </w:p>
        </w:tc>
        <w:tc>
          <w:tcPr>
            <w:tcW w:w="1412" w:type="pct"/>
            <w:hideMark/>
          </w:tcPr>
          <w:p w14:paraId="670C5B2E"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w:t>
            </w:r>
          </w:p>
        </w:tc>
        <w:tc>
          <w:tcPr>
            <w:tcW w:w="829" w:type="pct"/>
            <w:hideMark/>
          </w:tcPr>
          <w:p w14:paraId="6012D138"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w:t>
            </w:r>
          </w:p>
        </w:tc>
        <w:tc>
          <w:tcPr>
            <w:tcW w:w="981" w:type="pct"/>
            <w:hideMark/>
          </w:tcPr>
          <w:p w14:paraId="4CF1458F"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9 (4.8)</w:t>
            </w:r>
          </w:p>
        </w:tc>
      </w:tr>
    </w:tbl>
    <w:p w14:paraId="7C209AF4" w14:textId="625FF8FC" w:rsidR="00245D0F" w:rsidRPr="00EE2307" w:rsidRDefault="00245D0F" w:rsidP="00EE2307">
      <w:pPr>
        <w:pStyle w:val="Caption"/>
        <w:rPr>
          <w:sz w:val="18"/>
          <w:szCs w:val="18"/>
        </w:rPr>
      </w:pPr>
      <w:r w:rsidRPr="00EE2307">
        <w:rPr>
          <w:sz w:val="18"/>
          <w:szCs w:val="18"/>
        </w:rPr>
        <w:t>Table 2 Distribution of pain intensity among participants using Numeric Rating Scale (NRS)</w:t>
      </w:r>
    </w:p>
    <w:tbl>
      <w:tblPr>
        <w:tblStyle w:val="GridTable1Light"/>
        <w:tblW w:w="5000" w:type="pct"/>
        <w:tblLook w:val="04A0" w:firstRow="1" w:lastRow="0" w:firstColumn="1" w:lastColumn="0" w:noHBand="0" w:noVBand="1"/>
      </w:tblPr>
      <w:tblGrid>
        <w:gridCol w:w="3238"/>
        <w:gridCol w:w="1727"/>
        <w:gridCol w:w="1935"/>
        <w:gridCol w:w="2127"/>
      </w:tblGrid>
      <w:tr w:rsidR="00245D0F" w:rsidRPr="00EE2307" w14:paraId="7B9B1A5F" w14:textId="77777777" w:rsidTr="00245D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5" w:type="pct"/>
            <w:hideMark/>
          </w:tcPr>
          <w:p w14:paraId="09E57296" w14:textId="77777777" w:rsidR="00245D0F" w:rsidRPr="00EE2307" w:rsidRDefault="00245D0F" w:rsidP="00EE2307">
            <w:pPr>
              <w:pStyle w:val="Body"/>
              <w:rPr>
                <w:sz w:val="18"/>
              </w:rPr>
            </w:pPr>
            <w:r w:rsidRPr="00EE2307">
              <w:rPr>
                <w:sz w:val="18"/>
              </w:rPr>
              <w:t>Pain Intensity Category</w:t>
            </w:r>
          </w:p>
        </w:tc>
        <w:tc>
          <w:tcPr>
            <w:tcW w:w="936" w:type="pct"/>
            <w:hideMark/>
          </w:tcPr>
          <w:p w14:paraId="4269A65B" w14:textId="77777777" w:rsidR="00245D0F" w:rsidRPr="00EE2307" w:rsidRDefault="00245D0F" w:rsidP="00EE2307">
            <w:pPr>
              <w:pStyle w:val="Body"/>
              <w:cnfStyle w:val="100000000000" w:firstRow="1" w:lastRow="0" w:firstColumn="0" w:lastColumn="0" w:oddVBand="0" w:evenVBand="0" w:oddHBand="0" w:evenHBand="0" w:firstRowFirstColumn="0" w:firstRowLastColumn="0" w:lastRowFirstColumn="0" w:lastRowLastColumn="0"/>
              <w:rPr>
                <w:sz w:val="18"/>
              </w:rPr>
            </w:pPr>
            <w:r w:rsidRPr="00EE2307">
              <w:rPr>
                <w:sz w:val="18"/>
              </w:rPr>
              <w:t>Score Range</w:t>
            </w:r>
          </w:p>
        </w:tc>
        <w:tc>
          <w:tcPr>
            <w:tcW w:w="1049" w:type="pct"/>
            <w:hideMark/>
          </w:tcPr>
          <w:p w14:paraId="6A1FBDEF" w14:textId="77777777" w:rsidR="00245D0F" w:rsidRPr="00EE2307" w:rsidRDefault="00245D0F" w:rsidP="00EE2307">
            <w:pPr>
              <w:pStyle w:val="Body"/>
              <w:cnfStyle w:val="100000000000" w:firstRow="1" w:lastRow="0" w:firstColumn="0" w:lastColumn="0" w:oddVBand="0" w:evenVBand="0" w:oddHBand="0" w:evenHBand="0" w:firstRowFirstColumn="0" w:firstRowLastColumn="0" w:lastRowFirstColumn="0" w:lastRowLastColumn="0"/>
              <w:rPr>
                <w:sz w:val="18"/>
              </w:rPr>
            </w:pPr>
            <w:r w:rsidRPr="00EE2307">
              <w:rPr>
                <w:sz w:val="18"/>
              </w:rPr>
              <w:t>Frequency (n)</w:t>
            </w:r>
          </w:p>
        </w:tc>
        <w:tc>
          <w:tcPr>
            <w:tcW w:w="1153" w:type="pct"/>
            <w:hideMark/>
          </w:tcPr>
          <w:p w14:paraId="5EC66199" w14:textId="77777777" w:rsidR="00245D0F" w:rsidRPr="00EE2307" w:rsidRDefault="00245D0F" w:rsidP="00EE2307">
            <w:pPr>
              <w:pStyle w:val="Body"/>
              <w:cnfStyle w:val="100000000000" w:firstRow="1" w:lastRow="0" w:firstColumn="0" w:lastColumn="0" w:oddVBand="0" w:evenVBand="0" w:oddHBand="0" w:evenHBand="0" w:firstRowFirstColumn="0" w:firstRowLastColumn="0" w:lastRowFirstColumn="0" w:lastRowLastColumn="0"/>
              <w:rPr>
                <w:sz w:val="18"/>
              </w:rPr>
            </w:pPr>
            <w:r w:rsidRPr="00EE2307">
              <w:rPr>
                <w:sz w:val="18"/>
              </w:rPr>
              <w:t>Percentage (%)</w:t>
            </w:r>
          </w:p>
        </w:tc>
      </w:tr>
      <w:tr w:rsidR="00245D0F" w:rsidRPr="00EE2307" w14:paraId="70E30085" w14:textId="77777777" w:rsidTr="00245D0F">
        <w:tc>
          <w:tcPr>
            <w:cnfStyle w:val="001000000000" w:firstRow="0" w:lastRow="0" w:firstColumn="1" w:lastColumn="0" w:oddVBand="0" w:evenVBand="0" w:oddHBand="0" w:evenHBand="0" w:firstRowFirstColumn="0" w:firstRowLastColumn="0" w:lastRowFirstColumn="0" w:lastRowLastColumn="0"/>
            <w:tcW w:w="1755" w:type="pct"/>
            <w:hideMark/>
          </w:tcPr>
          <w:p w14:paraId="084FAF04" w14:textId="77777777" w:rsidR="00245D0F" w:rsidRPr="00EE2307" w:rsidRDefault="00245D0F" w:rsidP="00EE2307">
            <w:pPr>
              <w:pStyle w:val="Body"/>
              <w:rPr>
                <w:sz w:val="18"/>
              </w:rPr>
            </w:pPr>
            <w:r w:rsidRPr="00EE2307">
              <w:rPr>
                <w:sz w:val="18"/>
              </w:rPr>
              <w:t>No pain</w:t>
            </w:r>
          </w:p>
        </w:tc>
        <w:tc>
          <w:tcPr>
            <w:tcW w:w="936" w:type="pct"/>
            <w:hideMark/>
          </w:tcPr>
          <w:p w14:paraId="73F9F3B5"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0</w:t>
            </w:r>
          </w:p>
        </w:tc>
        <w:tc>
          <w:tcPr>
            <w:tcW w:w="1049" w:type="pct"/>
            <w:hideMark/>
          </w:tcPr>
          <w:p w14:paraId="57075CFD"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43</w:t>
            </w:r>
          </w:p>
        </w:tc>
        <w:tc>
          <w:tcPr>
            <w:tcW w:w="1153" w:type="pct"/>
            <w:hideMark/>
          </w:tcPr>
          <w:p w14:paraId="50874806"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23.0</w:t>
            </w:r>
          </w:p>
        </w:tc>
      </w:tr>
      <w:tr w:rsidR="00245D0F" w:rsidRPr="00EE2307" w14:paraId="78223450" w14:textId="77777777" w:rsidTr="00245D0F">
        <w:tc>
          <w:tcPr>
            <w:cnfStyle w:val="001000000000" w:firstRow="0" w:lastRow="0" w:firstColumn="1" w:lastColumn="0" w:oddVBand="0" w:evenVBand="0" w:oddHBand="0" w:evenHBand="0" w:firstRowFirstColumn="0" w:firstRowLastColumn="0" w:lastRowFirstColumn="0" w:lastRowLastColumn="0"/>
            <w:tcW w:w="1755" w:type="pct"/>
            <w:hideMark/>
          </w:tcPr>
          <w:p w14:paraId="4F97CF33" w14:textId="77777777" w:rsidR="00245D0F" w:rsidRPr="00EE2307" w:rsidRDefault="00245D0F" w:rsidP="00EE2307">
            <w:pPr>
              <w:pStyle w:val="Body"/>
              <w:rPr>
                <w:sz w:val="18"/>
              </w:rPr>
            </w:pPr>
            <w:r w:rsidRPr="00EE2307">
              <w:rPr>
                <w:sz w:val="18"/>
              </w:rPr>
              <w:t>Mild pain</w:t>
            </w:r>
          </w:p>
        </w:tc>
        <w:tc>
          <w:tcPr>
            <w:tcW w:w="936" w:type="pct"/>
            <w:hideMark/>
          </w:tcPr>
          <w:p w14:paraId="0DF4AC20"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1–3</w:t>
            </w:r>
          </w:p>
        </w:tc>
        <w:tc>
          <w:tcPr>
            <w:tcW w:w="1049" w:type="pct"/>
            <w:hideMark/>
          </w:tcPr>
          <w:p w14:paraId="7E7BFDDF"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47</w:t>
            </w:r>
          </w:p>
        </w:tc>
        <w:tc>
          <w:tcPr>
            <w:tcW w:w="1153" w:type="pct"/>
            <w:hideMark/>
          </w:tcPr>
          <w:p w14:paraId="75C74154"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25.1</w:t>
            </w:r>
          </w:p>
        </w:tc>
      </w:tr>
      <w:tr w:rsidR="00245D0F" w:rsidRPr="00EE2307" w14:paraId="5F30352C" w14:textId="77777777" w:rsidTr="00245D0F">
        <w:tc>
          <w:tcPr>
            <w:cnfStyle w:val="001000000000" w:firstRow="0" w:lastRow="0" w:firstColumn="1" w:lastColumn="0" w:oddVBand="0" w:evenVBand="0" w:oddHBand="0" w:evenHBand="0" w:firstRowFirstColumn="0" w:firstRowLastColumn="0" w:lastRowFirstColumn="0" w:lastRowLastColumn="0"/>
            <w:tcW w:w="1755" w:type="pct"/>
            <w:hideMark/>
          </w:tcPr>
          <w:p w14:paraId="533DEA8E" w14:textId="77777777" w:rsidR="00245D0F" w:rsidRPr="00EE2307" w:rsidRDefault="00245D0F" w:rsidP="00EE2307">
            <w:pPr>
              <w:pStyle w:val="Body"/>
              <w:rPr>
                <w:sz w:val="18"/>
              </w:rPr>
            </w:pPr>
            <w:r w:rsidRPr="00EE2307">
              <w:rPr>
                <w:sz w:val="18"/>
              </w:rPr>
              <w:t>Moderate pain</w:t>
            </w:r>
          </w:p>
        </w:tc>
        <w:tc>
          <w:tcPr>
            <w:tcW w:w="936" w:type="pct"/>
            <w:hideMark/>
          </w:tcPr>
          <w:p w14:paraId="095C2F6B"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4–5</w:t>
            </w:r>
          </w:p>
        </w:tc>
        <w:tc>
          <w:tcPr>
            <w:tcW w:w="1049" w:type="pct"/>
            <w:hideMark/>
          </w:tcPr>
          <w:p w14:paraId="3093C994"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65</w:t>
            </w:r>
          </w:p>
        </w:tc>
        <w:tc>
          <w:tcPr>
            <w:tcW w:w="1153" w:type="pct"/>
            <w:hideMark/>
          </w:tcPr>
          <w:p w14:paraId="30A904F7"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34.8</w:t>
            </w:r>
          </w:p>
        </w:tc>
      </w:tr>
      <w:tr w:rsidR="00245D0F" w:rsidRPr="00EE2307" w14:paraId="4CD5A3A1" w14:textId="77777777" w:rsidTr="00245D0F">
        <w:tc>
          <w:tcPr>
            <w:cnfStyle w:val="001000000000" w:firstRow="0" w:lastRow="0" w:firstColumn="1" w:lastColumn="0" w:oddVBand="0" w:evenVBand="0" w:oddHBand="0" w:evenHBand="0" w:firstRowFirstColumn="0" w:firstRowLastColumn="0" w:lastRowFirstColumn="0" w:lastRowLastColumn="0"/>
            <w:tcW w:w="1755" w:type="pct"/>
            <w:hideMark/>
          </w:tcPr>
          <w:p w14:paraId="5774B0B9" w14:textId="77777777" w:rsidR="00245D0F" w:rsidRPr="00EE2307" w:rsidRDefault="00245D0F" w:rsidP="00EE2307">
            <w:pPr>
              <w:pStyle w:val="Body"/>
              <w:rPr>
                <w:sz w:val="18"/>
              </w:rPr>
            </w:pPr>
            <w:r w:rsidRPr="00EE2307">
              <w:rPr>
                <w:sz w:val="18"/>
              </w:rPr>
              <w:t>Severe pain</w:t>
            </w:r>
          </w:p>
        </w:tc>
        <w:tc>
          <w:tcPr>
            <w:tcW w:w="936" w:type="pct"/>
            <w:hideMark/>
          </w:tcPr>
          <w:p w14:paraId="32AC9DF2"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6–7</w:t>
            </w:r>
          </w:p>
        </w:tc>
        <w:tc>
          <w:tcPr>
            <w:tcW w:w="1049" w:type="pct"/>
            <w:hideMark/>
          </w:tcPr>
          <w:p w14:paraId="2334269B"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12</w:t>
            </w:r>
          </w:p>
        </w:tc>
        <w:tc>
          <w:tcPr>
            <w:tcW w:w="1153" w:type="pct"/>
            <w:hideMark/>
          </w:tcPr>
          <w:p w14:paraId="22B9CC0C"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6.4</w:t>
            </w:r>
          </w:p>
        </w:tc>
      </w:tr>
      <w:tr w:rsidR="00245D0F" w:rsidRPr="00EE2307" w14:paraId="088D9065" w14:textId="77777777" w:rsidTr="00245D0F">
        <w:tc>
          <w:tcPr>
            <w:cnfStyle w:val="001000000000" w:firstRow="0" w:lastRow="0" w:firstColumn="1" w:lastColumn="0" w:oddVBand="0" w:evenVBand="0" w:oddHBand="0" w:evenHBand="0" w:firstRowFirstColumn="0" w:firstRowLastColumn="0" w:lastRowFirstColumn="0" w:lastRowLastColumn="0"/>
            <w:tcW w:w="1755" w:type="pct"/>
            <w:hideMark/>
          </w:tcPr>
          <w:p w14:paraId="3AF324F7" w14:textId="77777777" w:rsidR="00245D0F" w:rsidRPr="00EE2307" w:rsidRDefault="00245D0F" w:rsidP="00EE2307">
            <w:pPr>
              <w:pStyle w:val="Body"/>
              <w:rPr>
                <w:sz w:val="18"/>
              </w:rPr>
            </w:pPr>
            <w:r w:rsidRPr="00EE2307">
              <w:rPr>
                <w:sz w:val="18"/>
              </w:rPr>
              <w:t>Very severe pain</w:t>
            </w:r>
          </w:p>
        </w:tc>
        <w:tc>
          <w:tcPr>
            <w:tcW w:w="936" w:type="pct"/>
            <w:hideMark/>
          </w:tcPr>
          <w:p w14:paraId="1CDDEA87"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8–9</w:t>
            </w:r>
          </w:p>
        </w:tc>
        <w:tc>
          <w:tcPr>
            <w:tcW w:w="1049" w:type="pct"/>
            <w:hideMark/>
          </w:tcPr>
          <w:p w14:paraId="087B0BDF"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11</w:t>
            </w:r>
          </w:p>
        </w:tc>
        <w:tc>
          <w:tcPr>
            <w:tcW w:w="1153" w:type="pct"/>
            <w:hideMark/>
          </w:tcPr>
          <w:p w14:paraId="738320C8"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5.9</w:t>
            </w:r>
          </w:p>
        </w:tc>
      </w:tr>
      <w:tr w:rsidR="00245D0F" w:rsidRPr="00EE2307" w14:paraId="1E5A2EFD" w14:textId="77777777" w:rsidTr="00245D0F">
        <w:tc>
          <w:tcPr>
            <w:cnfStyle w:val="001000000000" w:firstRow="0" w:lastRow="0" w:firstColumn="1" w:lastColumn="0" w:oddVBand="0" w:evenVBand="0" w:oddHBand="0" w:evenHBand="0" w:firstRowFirstColumn="0" w:firstRowLastColumn="0" w:lastRowFirstColumn="0" w:lastRowLastColumn="0"/>
            <w:tcW w:w="1755" w:type="pct"/>
            <w:hideMark/>
          </w:tcPr>
          <w:p w14:paraId="39E9305C" w14:textId="77777777" w:rsidR="00245D0F" w:rsidRPr="00EE2307" w:rsidRDefault="00245D0F" w:rsidP="00EE2307">
            <w:pPr>
              <w:pStyle w:val="Body"/>
              <w:rPr>
                <w:sz w:val="18"/>
              </w:rPr>
            </w:pPr>
            <w:r w:rsidRPr="00EE2307">
              <w:rPr>
                <w:sz w:val="18"/>
              </w:rPr>
              <w:t>Worst possible pain</w:t>
            </w:r>
          </w:p>
        </w:tc>
        <w:tc>
          <w:tcPr>
            <w:tcW w:w="936" w:type="pct"/>
            <w:hideMark/>
          </w:tcPr>
          <w:p w14:paraId="41F0FFB4"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10</w:t>
            </w:r>
          </w:p>
        </w:tc>
        <w:tc>
          <w:tcPr>
            <w:tcW w:w="1049" w:type="pct"/>
            <w:hideMark/>
          </w:tcPr>
          <w:p w14:paraId="558E84C4"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9</w:t>
            </w:r>
          </w:p>
        </w:tc>
        <w:tc>
          <w:tcPr>
            <w:tcW w:w="1153" w:type="pct"/>
            <w:hideMark/>
          </w:tcPr>
          <w:p w14:paraId="57882E04"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4.8</w:t>
            </w:r>
          </w:p>
        </w:tc>
      </w:tr>
      <w:tr w:rsidR="00245D0F" w:rsidRPr="00EE2307" w14:paraId="477D2054" w14:textId="77777777" w:rsidTr="00245D0F">
        <w:tc>
          <w:tcPr>
            <w:cnfStyle w:val="001000000000" w:firstRow="0" w:lastRow="0" w:firstColumn="1" w:lastColumn="0" w:oddVBand="0" w:evenVBand="0" w:oddHBand="0" w:evenHBand="0" w:firstRowFirstColumn="0" w:firstRowLastColumn="0" w:lastRowFirstColumn="0" w:lastRowLastColumn="0"/>
            <w:tcW w:w="1755" w:type="pct"/>
            <w:hideMark/>
          </w:tcPr>
          <w:p w14:paraId="04C96A18" w14:textId="77777777" w:rsidR="00245D0F" w:rsidRPr="00EE2307" w:rsidRDefault="00245D0F" w:rsidP="00EE2307">
            <w:pPr>
              <w:pStyle w:val="Body"/>
              <w:rPr>
                <w:sz w:val="18"/>
              </w:rPr>
            </w:pPr>
            <w:r w:rsidRPr="00EE2307">
              <w:rPr>
                <w:sz w:val="18"/>
              </w:rPr>
              <w:t>Total</w:t>
            </w:r>
          </w:p>
        </w:tc>
        <w:tc>
          <w:tcPr>
            <w:tcW w:w="936" w:type="pct"/>
            <w:hideMark/>
          </w:tcPr>
          <w:p w14:paraId="3DF7C774"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w:t>
            </w:r>
          </w:p>
        </w:tc>
        <w:tc>
          <w:tcPr>
            <w:tcW w:w="1049" w:type="pct"/>
            <w:hideMark/>
          </w:tcPr>
          <w:p w14:paraId="65AB7179"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187</w:t>
            </w:r>
          </w:p>
        </w:tc>
        <w:tc>
          <w:tcPr>
            <w:tcW w:w="1153" w:type="pct"/>
            <w:hideMark/>
          </w:tcPr>
          <w:p w14:paraId="7D2D21F8"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100</w:t>
            </w:r>
          </w:p>
        </w:tc>
      </w:tr>
    </w:tbl>
    <w:p w14:paraId="1FCA1103" w14:textId="06B09087" w:rsidR="00245D0F" w:rsidRPr="00EE2307" w:rsidRDefault="00245D0F" w:rsidP="00EE2307">
      <w:pPr>
        <w:pStyle w:val="Caption"/>
        <w:rPr>
          <w:sz w:val="18"/>
          <w:szCs w:val="18"/>
        </w:rPr>
      </w:pPr>
      <w:r w:rsidRPr="00EE2307">
        <w:rPr>
          <w:sz w:val="18"/>
          <w:szCs w:val="18"/>
        </w:rPr>
        <w:t>Table 3 Prevalence of scapular dyskinesia based on Scapular Assistance Test (SAT)</w:t>
      </w:r>
    </w:p>
    <w:tbl>
      <w:tblPr>
        <w:tblStyle w:val="GridTable1Light"/>
        <w:tblW w:w="5000" w:type="pct"/>
        <w:tblLook w:val="04A0" w:firstRow="1" w:lastRow="0" w:firstColumn="1" w:lastColumn="0" w:noHBand="0" w:noVBand="1"/>
      </w:tblPr>
      <w:tblGrid>
        <w:gridCol w:w="4906"/>
        <w:gridCol w:w="1964"/>
        <w:gridCol w:w="2157"/>
      </w:tblGrid>
      <w:tr w:rsidR="00245D0F" w:rsidRPr="00EE2307" w14:paraId="59CC8919" w14:textId="77777777" w:rsidTr="00245D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pct"/>
            <w:hideMark/>
          </w:tcPr>
          <w:p w14:paraId="25FB5AD6" w14:textId="77777777" w:rsidR="00245D0F" w:rsidRPr="00EE2307" w:rsidRDefault="00245D0F" w:rsidP="00EE2307">
            <w:pPr>
              <w:pStyle w:val="Body"/>
              <w:rPr>
                <w:sz w:val="18"/>
              </w:rPr>
            </w:pPr>
            <w:r w:rsidRPr="00EE2307">
              <w:rPr>
                <w:sz w:val="18"/>
              </w:rPr>
              <w:t>SAT Result</w:t>
            </w:r>
          </w:p>
        </w:tc>
        <w:tc>
          <w:tcPr>
            <w:tcW w:w="1069" w:type="pct"/>
            <w:hideMark/>
          </w:tcPr>
          <w:p w14:paraId="36D886CE" w14:textId="77777777" w:rsidR="00245D0F" w:rsidRPr="00EE2307" w:rsidRDefault="00245D0F" w:rsidP="00EE2307">
            <w:pPr>
              <w:pStyle w:val="Body"/>
              <w:cnfStyle w:val="100000000000" w:firstRow="1" w:lastRow="0" w:firstColumn="0" w:lastColumn="0" w:oddVBand="0" w:evenVBand="0" w:oddHBand="0" w:evenHBand="0" w:firstRowFirstColumn="0" w:firstRowLastColumn="0" w:lastRowFirstColumn="0" w:lastRowLastColumn="0"/>
              <w:rPr>
                <w:sz w:val="18"/>
              </w:rPr>
            </w:pPr>
            <w:r w:rsidRPr="00EE2307">
              <w:rPr>
                <w:sz w:val="18"/>
              </w:rPr>
              <w:t>Frequency (n)</w:t>
            </w:r>
          </w:p>
        </w:tc>
        <w:tc>
          <w:tcPr>
            <w:tcW w:w="1174" w:type="pct"/>
            <w:hideMark/>
          </w:tcPr>
          <w:p w14:paraId="2BB8561E" w14:textId="77777777" w:rsidR="00245D0F" w:rsidRPr="00EE2307" w:rsidRDefault="00245D0F" w:rsidP="00EE2307">
            <w:pPr>
              <w:pStyle w:val="Body"/>
              <w:cnfStyle w:val="100000000000" w:firstRow="1" w:lastRow="0" w:firstColumn="0" w:lastColumn="0" w:oddVBand="0" w:evenVBand="0" w:oddHBand="0" w:evenHBand="0" w:firstRowFirstColumn="0" w:firstRowLastColumn="0" w:lastRowFirstColumn="0" w:lastRowLastColumn="0"/>
              <w:rPr>
                <w:sz w:val="18"/>
              </w:rPr>
            </w:pPr>
            <w:r w:rsidRPr="00EE2307">
              <w:rPr>
                <w:sz w:val="18"/>
              </w:rPr>
              <w:t>Percentage (%)</w:t>
            </w:r>
          </w:p>
        </w:tc>
      </w:tr>
      <w:tr w:rsidR="00245D0F" w:rsidRPr="00EE2307" w14:paraId="78C84CD7" w14:textId="77777777" w:rsidTr="00245D0F">
        <w:tc>
          <w:tcPr>
            <w:cnfStyle w:val="001000000000" w:firstRow="0" w:lastRow="0" w:firstColumn="1" w:lastColumn="0" w:oddVBand="0" w:evenVBand="0" w:oddHBand="0" w:evenHBand="0" w:firstRowFirstColumn="0" w:firstRowLastColumn="0" w:lastRowFirstColumn="0" w:lastRowLastColumn="0"/>
            <w:tcW w:w="2670" w:type="pct"/>
            <w:hideMark/>
          </w:tcPr>
          <w:p w14:paraId="16B479DF" w14:textId="77777777" w:rsidR="00245D0F" w:rsidRPr="00EE2307" w:rsidRDefault="00245D0F" w:rsidP="00EE2307">
            <w:pPr>
              <w:pStyle w:val="Body"/>
              <w:rPr>
                <w:sz w:val="18"/>
              </w:rPr>
            </w:pPr>
            <w:r w:rsidRPr="00EE2307">
              <w:rPr>
                <w:sz w:val="18"/>
              </w:rPr>
              <w:t>Negative</w:t>
            </w:r>
          </w:p>
        </w:tc>
        <w:tc>
          <w:tcPr>
            <w:tcW w:w="1069" w:type="pct"/>
            <w:hideMark/>
          </w:tcPr>
          <w:p w14:paraId="24B4282B"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69</w:t>
            </w:r>
          </w:p>
        </w:tc>
        <w:tc>
          <w:tcPr>
            <w:tcW w:w="1174" w:type="pct"/>
            <w:hideMark/>
          </w:tcPr>
          <w:p w14:paraId="2E75D064"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36.9</w:t>
            </w:r>
          </w:p>
        </w:tc>
      </w:tr>
      <w:tr w:rsidR="00245D0F" w:rsidRPr="00EE2307" w14:paraId="7F8EAA14" w14:textId="77777777" w:rsidTr="00245D0F">
        <w:tc>
          <w:tcPr>
            <w:cnfStyle w:val="001000000000" w:firstRow="0" w:lastRow="0" w:firstColumn="1" w:lastColumn="0" w:oddVBand="0" w:evenVBand="0" w:oddHBand="0" w:evenHBand="0" w:firstRowFirstColumn="0" w:firstRowLastColumn="0" w:lastRowFirstColumn="0" w:lastRowLastColumn="0"/>
            <w:tcW w:w="2670" w:type="pct"/>
            <w:hideMark/>
          </w:tcPr>
          <w:p w14:paraId="3738BD02" w14:textId="77777777" w:rsidR="00245D0F" w:rsidRPr="00EE2307" w:rsidRDefault="00245D0F" w:rsidP="00EE2307">
            <w:pPr>
              <w:pStyle w:val="Body"/>
              <w:rPr>
                <w:sz w:val="18"/>
              </w:rPr>
            </w:pPr>
            <w:r w:rsidRPr="00EE2307">
              <w:rPr>
                <w:sz w:val="18"/>
              </w:rPr>
              <w:t>Positive (Scapular dyskinesia present)</w:t>
            </w:r>
          </w:p>
        </w:tc>
        <w:tc>
          <w:tcPr>
            <w:tcW w:w="1069" w:type="pct"/>
            <w:hideMark/>
          </w:tcPr>
          <w:p w14:paraId="16B7B498"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118</w:t>
            </w:r>
          </w:p>
        </w:tc>
        <w:tc>
          <w:tcPr>
            <w:tcW w:w="1174" w:type="pct"/>
            <w:hideMark/>
          </w:tcPr>
          <w:p w14:paraId="2097EDE8"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63.1</w:t>
            </w:r>
          </w:p>
        </w:tc>
      </w:tr>
      <w:tr w:rsidR="00245D0F" w:rsidRPr="00EE2307" w14:paraId="0992E5CE" w14:textId="77777777" w:rsidTr="00245D0F">
        <w:tc>
          <w:tcPr>
            <w:cnfStyle w:val="001000000000" w:firstRow="0" w:lastRow="0" w:firstColumn="1" w:lastColumn="0" w:oddVBand="0" w:evenVBand="0" w:oddHBand="0" w:evenHBand="0" w:firstRowFirstColumn="0" w:firstRowLastColumn="0" w:lastRowFirstColumn="0" w:lastRowLastColumn="0"/>
            <w:tcW w:w="2670" w:type="pct"/>
            <w:hideMark/>
          </w:tcPr>
          <w:p w14:paraId="1F1FC870" w14:textId="77777777" w:rsidR="00245D0F" w:rsidRPr="00EE2307" w:rsidRDefault="00245D0F" w:rsidP="00EE2307">
            <w:pPr>
              <w:pStyle w:val="Body"/>
              <w:rPr>
                <w:sz w:val="18"/>
              </w:rPr>
            </w:pPr>
            <w:r w:rsidRPr="00EE2307">
              <w:rPr>
                <w:sz w:val="18"/>
              </w:rPr>
              <w:t>Total</w:t>
            </w:r>
          </w:p>
        </w:tc>
        <w:tc>
          <w:tcPr>
            <w:tcW w:w="1069" w:type="pct"/>
            <w:hideMark/>
          </w:tcPr>
          <w:p w14:paraId="21593E3E"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187</w:t>
            </w:r>
          </w:p>
        </w:tc>
        <w:tc>
          <w:tcPr>
            <w:tcW w:w="1174" w:type="pct"/>
            <w:hideMark/>
          </w:tcPr>
          <w:p w14:paraId="77B583EC"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100</w:t>
            </w:r>
          </w:p>
        </w:tc>
      </w:tr>
    </w:tbl>
    <w:p w14:paraId="4B46A538" w14:textId="501BBC51" w:rsidR="00245D0F" w:rsidRPr="00EE2307" w:rsidRDefault="00245D0F" w:rsidP="00EE2307">
      <w:pPr>
        <w:pStyle w:val="Caption"/>
        <w:rPr>
          <w:sz w:val="18"/>
          <w:szCs w:val="18"/>
        </w:rPr>
      </w:pPr>
      <w:r w:rsidRPr="00EE2307">
        <w:rPr>
          <w:sz w:val="18"/>
          <w:szCs w:val="18"/>
        </w:rPr>
        <w:lastRenderedPageBreak/>
        <w:t>Table 4 Association between scapular dyskinesia (SAT) and shoulder functional performance (SPADI)</w:t>
      </w:r>
    </w:p>
    <w:tbl>
      <w:tblPr>
        <w:tblStyle w:val="GridTable1Light"/>
        <w:tblW w:w="5000" w:type="pct"/>
        <w:tblLook w:val="04A0" w:firstRow="1" w:lastRow="0" w:firstColumn="1" w:lastColumn="0" w:noHBand="0" w:noVBand="1"/>
      </w:tblPr>
      <w:tblGrid>
        <w:gridCol w:w="2390"/>
        <w:gridCol w:w="1925"/>
        <w:gridCol w:w="1827"/>
        <w:gridCol w:w="883"/>
        <w:gridCol w:w="767"/>
        <w:gridCol w:w="1235"/>
      </w:tblGrid>
      <w:tr w:rsidR="00245D0F" w:rsidRPr="00EE2307" w14:paraId="062E4A16" w14:textId="77777777" w:rsidTr="00245D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pct"/>
            <w:hideMark/>
          </w:tcPr>
          <w:p w14:paraId="703D364C" w14:textId="77777777" w:rsidR="00245D0F" w:rsidRPr="00EE2307" w:rsidRDefault="00245D0F" w:rsidP="00EE2307">
            <w:pPr>
              <w:pStyle w:val="Body"/>
              <w:rPr>
                <w:sz w:val="18"/>
              </w:rPr>
            </w:pPr>
            <w:r w:rsidRPr="00EE2307">
              <w:rPr>
                <w:sz w:val="18"/>
              </w:rPr>
              <w:t>SPADI Category</w:t>
            </w:r>
          </w:p>
        </w:tc>
        <w:tc>
          <w:tcPr>
            <w:tcW w:w="1041" w:type="pct"/>
            <w:hideMark/>
          </w:tcPr>
          <w:p w14:paraId="77590375" w14:textId="77777777" w:rsidR="00245D0F" w:rsidRPr="00EE2307" w:rsidRDefault="00245D0F" w:rsidP="00EE2307">
            <w:pPr>
              <w:pStyle w:val="Body"/>
              <w:cnfStyle w:val="100000000000" w:firstRow="1" w:lastRow="0" w:firstColumn="0" w:lastColumn="0" w:oddVBand="0" w:evenVBand="0" w:oddHBand="0" w:evenHBand="0" w:firstRowFirstColumn="0" w:firstRowLastColumn="0" w:lastRowFirstColumn="0" w:lastRowLastColumn="0"/>
              <w:rPr>
                <w:sz w:val="18"/>
              </w:rPr>
            </w:pPr>
            <w:r w:rsidRPr="00EE2307">
              <w:rPr>
                <w:sz w:val="18"/>
              </w:rPr>
              <w:t>SAT Negative n (%)</w:t>
            </w:r>
          </w:p>
        </w:tc>
        <w:tc>
          <w:tcPr>
            <w:tcW w:w="989" w:type="pct"/>
            <w:hideMark/>
          </w:tcPr>
          <w:p w14:paraId="2CE69777" w14:textId="77777777" w:rsidR="00245D0F" w:rsidRPr="00EE2307" w:rsidRDefault="00245D0F" w:rsidP="00EE2307">
            <w:pPr>
              <w:pStyle w:val="Body"/>
              <w:cnfStyle w:val="100000000000" w:firstRow="1" w:lastRow="0" w:firstColumn="0" w:lastColumn="0" w:oddVBand="0" w:evenVBand="0" w:oddHBand="0" w:evenHBand="0" w:firstRowFirstColumn="0" w:firstRowLastColumn="0" w:lastRowFirstColumn="0" w:lastRowLastColumn="0"/>
              <w:rPr>
                <w:sz w:val="18"/>
              </w:rPr>
            </w:pPr>
            <w:r w:rsidRPr="00EE2307">
              <w:rPr>
                <w:sz w:val="18"/>
              </w:rPr>
              <w:t>SAT Positive n (%)</w:t>
            </w:r>
          </w:p>
        </w:tc>
        <w:tc>
          <w:tcPr>
            <w:tcW w:w="478" w:type="pct"/>
            <w:hideMark/>
          </w:tcPr>
          <w:p w14:paraId="254D82BA" w14:textId="77777777" w:rsidR="00245D0F" w:rsidRPr="00EE2307" w:rsidRDefault="00245D0F" w:rsidP="00EE2307">
            <w:pPr>
              <w:pStyle w:val="Body"/>
              <w:cnfStyle w:val="100000000000" w:firstRow="1" w:lastRow="0" w:firstColumn="0" w:lastColumn="0" w:oddVBand="0" w:evenVBand="0" w:oddHBand="0" w:evenHBand="0" w:firstRowFirstColumn="0" w:firstRowLastColumn="0" w:lastRowFirstColumn="0" w:lastRowLastColumn="0"/>
              <w:rPr>
                <w:sz w:val="18"/>
              </w:rPr>
            </w:pPr>
            <w:r w:rsidRPr="00EE2307">
              <w:rPr>
                <w:sz w:val="18"/>
              </w:rPr>
              <w:t>Total (n)</w:t>
            </w:r>
          </w:p>
        </w:tc>
        <w:tc>
          <w:tcPr>
            <w:tcW w:w="415" w:type="pct"/>
            <w:hideMark/>
          </w:tcPr>
          <w:p w14:paraId="299CF2E3" w14:textId="77777777" w:rsidR="00245D0F" w:rsidRPr="00EE2307" w:rsidRDefault="00245D0F" w:rsidP="00EE2307">
            <w:pPr>
              <w:pStyle w:val="Body"/>
              <w:cnfStyle w:val="100000000000" w:firstRow="1" w:lastRow="0" w:firstColumn="0" w:lastColumn="0" w:oddVBand="0" w:evenVBand="0" w:oddHBand="0" w:evenHBand="0" w:firstRowFirstColumn="0" w:firstRowLastColumn="0" w:lastRowFirstColumn="0" w:lastRowLastColumn="0"/>
              <w:rPr>
                <w:sz w:val="18"/>
              </w:rPr>
            </w:pPr>
            <w:r w:rsidRPr="00EE2307">
              <w:rPr>
                <w:sz w:val="18"/>
              </w:rPr>
              <w:t>p-value</w:t>
            </w:r>
          </w:p>
        </w:tc>
        <w:tc>
          <w:tcPr>
            <w:tcW w:w="668" w:type="pct"/>
            <w:hideMark/>
          </w:tcPr>
          <w:p w14:paraId="051EB5BA" w14:textId="77777777" w:rsidR="00245D0F" w:rsidRPr="00EE2307" w:rsidRDefault="00245D0F" w:rsidP="00EE2307">
            <w:pPr>
              <w:pStyle w:val="Body"/>
              <w:cnfStyle w:val="100000000000" w:firstRow="1" w:lastRow="0" w:firstColumn="0" w:lastColumn="0" w:oddVBand="0" w:evenVBand="0" w:oddHBand="0" w:evenHBand="0" w:firstRowFirstColumn="0" w:firstRowLastColumn="0" w:lastRowFirstColumn="0" w:lastRowLastColumn="0"/>
              <w:rPr>
                <w:sz w:val="18"/>
              </w:rPr>
            </w:pPr>
            <w:r w:rsidRPr="00EE2307">
              <w:rPr>
                <w:sz w:val="18"/>
              </w:rPr>
              <w:t>Cramér’s V</w:t>
            </w:r>
          </w:p>
        </w:tc>
      </w:tr>
      <w:tr w:rsidR="00245D0F" w:rsidRPr="00EE2307" w14:paraId="1A87EF9F" w14:textId="77777777" w:rsidTr="00245D0F">
        <w:tc>
          <w:tcPr>
            <w:cnfStyle w:val="001000000000" w:firstRow="0" w:lastRow="0" w:firstColumn="1" w:lastColumn="0" w:oddVBand="0" w:evenVBand="0" w:oddHBand="0" w:evenHBand="0" w:firstRowFirstColumn="0" w:firstRowLastColumn="0" w:lastRowFirstColumn="0" w:lastRowLastColumn="0"/>
            <w:tcW w:w="1293" w:type="pct"/>
            <w:hideMark/>
          </w:tcPr>
          <w:p w14:paraId="38DCD33B" w14:textId="77777777" w:rsidR="00245D0F" w:rsidRPr="00EE2307" w:rsidRDefault="00245D0F" w:rsidP="00EE2307">
            <w:pPr>
              <w:pStyle w:val="Body"/>
              <w:rPr>
                <w:sz w:val="18"/>
              </w:rPr>
            </w:pPr>
            <w:r w:rsidRPr="00EE2307">
              <w:rPr>
                <w:sz w:val="18"/>
              </w:rPr>
              <w:t>Moderate (21–40)</w:t>
            </w:r>
          </w:p>
        </w:tc>
        <w:tc>
          <w:tcPr>
            <w:tcW w:w="1041" w:type="pct"/>
            <w:hideMark/>
          </w:tcPr>
          <w:p w14:paraId="0AA062D7"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1 (20.0)</w:t>
            </w:r>
          </w:p>
        </w:tc>
        <w:tc>
          <w:tcPr>
            <w:tcW w:w="989" w:type="pct"/>
            <w:hideMark/>
          </w:tcPr>
          <w:p w14:paraId="45FC94DE"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4 (80.0)</w:t>
            </w:r>
          </w:p>
        </w:tc>
        <w:tc>
          <w:tcPr>
            <w:tcW w:w="478" w:type="pct"/>
            <w:hideMark/>
          </w:tcPr>
          <w:p w14:paraId="05E7DC6C"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5</w:t>
            </w:r>
          </w:p>
        </w:tc>
        <w:tc>
          <w:tcPr>
            <w:tcW w:w="415" w:type="pct"/>
            <w:hideMark/>
          </w:tcPr>
          <w:p w14:paraId="2AFFD18F"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p>
        </w:tc>
        <w:tc>
          <w:tcPr>
            <w:tcW w:w="668" w:type="pct"/>
            <w:hideMark/>
          </w:tcPr>
          <w:p w14:paraId="331728E0"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p>
        </w:tc>
      </w:tr>
      <w:tr w:rsidR="00245D0F" w:rsidRPr="00EE2307" w14:paraId="595584FA" w14:textId="77777777" w:rsidTr="00245D0F">
        <w:tc>
          <w:tcPr>
            <w:cnfStyle w:val="001000000000" w:firstRow="0" w:lastRow="0" w:firstColumn="1" w:lastColumn="0" w:oddVBand="0" w:evenVBand="0" w:oddHBand="0" w:evenHBand="0" w:firstRowFirstColumn="0" w:firstRowLastColumn="0" w:lastRowFirstColumn="0" w:lastRowLastColumn="0"/>
            <w:tcW w:w="1293" w:type="pct"/>
            <w:hideMark/>
          </w:tcPr>
          <w:p w14:paraId="6C005CDC" w14:textId="77777777" w:rsidR="00245D0F" w:rsidRPr="00EE2307" w:rsidRDefault="00245D0F" w:rsidP="00EE2307">
            <w:pPr>
              <w:pStyle w:val="Body"/>
              <w:rPr>
                <w:sz w:val="18"/>
              </w:rPr>
            </w:pPr>
            <w:r w:rsidRPr="00EE2307">
              <w:rPr>
                <w:sz w:val="18"/>
              </w:rPr>
              <w:t>Severe (41–60)</w:t>
            </w:r>
          </w:p>
        </w:tc>
        <w:tc>
          <w:tcPr>
            <w:tcW w:w="1041" w:type="pct"/>
            <w:hideMark/>
          </w:tcPr>
          <w:p w14:paraId="64F7434E"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39 (51.3)</w:t>
            </w:r>
          </w:p>
        </w:tc>
        <w:tc>
          <w:tcPr>
            <w:tcW w:w="989" w:type="pct"/>
            <w:hideMark/>
          </w:tcPr>
          <w:p w14:paraId="7CDDEA03"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37 (48.7)</w:t>
            </w:r>
          </w:p>
        </w:tc>
        <w:tc>
          <w:tcPr>
            <w:tcW w:w="478" w:type="pct"/>
            <w:hideMark/>
          </w:tcPr>
          <w:p w14:paraId="68677DC2"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76</w:t>
            </w:r>
          </w:p>
        </w:tc>
        <w:tc>
          <w:tcPr>
            <w:tcW w:w="415" w:type="pct"/>
            <w:hideMark/>
          </w:tcPr>
          <w:p w14:paraId="6550614D"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p>
        </w:tc>
        <w:tc>
          <w:tcPr>
            <w:tcW w:w="668" w:type="pct"/>
            <w:hideMark/>
          </w:tcPr>
          <w:p w14:paraId="57B1C168"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p>
        </w:tc>
      </w:tr>
      <w:tr w:rsidR="00245D0F" w:rsidRPr="00EE2307" w14:paraId="60E14B2E" w14:textId="77777777" w:rsidTr="00245D0F">
        <w:tc>
          <w:tcPr>
            <w:cnfStyle w:val="001000000000" w:firstRow="0" w:lastRow="0" w:firstColumn="1" w:lastColumn="0" w:oddVBand="0" w:evenVBand="0" w:oddHBand="0" w:evenHBand="0" w:firstRowFirstColumn="0" w:firstRowLastColumn="0" w:lastRowFirstColumn="0" w:lastRowLastColumn="0"/>
            <w:tcW w:w="1293" w:type="pct"/>
            <w:hideMark/>
          </w:tcPr>
          <w:p w14:paraId="40DB4EA0" w14:textId="77777777" w:rsidR="00245D0F" w:rsidRPr="00EE2307" w:rsidRDefault="00245D0F" w:rsidP="00EE2307">
            <w:pPr>
              <w:pStyle w:val="Body"/>
              <w:rPr>
                <w:sz w:val="18"/>
              </w:rPr>
            </w:pPr>
            <w:r w:rsidRPr="00EE2307">
              <w:rPr>
                <w:sz w:val="18"/>
              </w:rPr>
              <w:t>Very severe (61–80)</w:t>
            </w:r>
          </w:p>
        </w:tc>
        <w:tc>
          <w:tcPr>
            <w:tcW w:w="1041" w:type="pct"/>
            <w:hideMark/>
          </w:tcPr>
          <w:p w14:paraId="386427DE"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29 (29.6)</w:t>
            </w:r>
          </w:p>
        </w:tc>
        <w:tc>
          <w:tcPr>
            <w:tcW w:w="989" w:type="pct"/>
            <w:hideMark/>
          </w:tcPr>
          <w:p w14:paraId="755A3E05"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69 (70.4)</w:t>
            </w:r>
          </w:p>
        </w:tc>
        <w:tc>
          <w:tcPr>
            <w:tcW w:w="478" w:type="pct"/>
            <w:hideMark/>
          </w:tcPr>
          <w:p w14:paraId="220A45DF"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98</w:t>
            </w:r>
          </w:p>
        </w:tc>
        <w:tc>
          <w:tcPr>
            <w:tcW w:w="415" w:type="pct"/>
            <w:hideMark/>
          </w:tcPr>
          <w:p w14:paraId="7F273FD1"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p>
        </w:tc>
        <w:tc>
          <w:tcPr>
            <w:tcW w:w="668" w:type="pct"/>
            <w:hideMark/>
          </w:tcPr>
          <w:p w14:paraId="1FC843E4"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p>
        </w:tc>
      </w:tr>
      <w:tr w:rsidR="00245D0F" w:rsidRPr="00EE2307" w14:paraId="0EBDDC5B" w14:textId="77777777" w:rsidTr="00245D0F">
        <w:tc>
          <w:tcPr>
            <w:cnfStyle w:val="001000000000" w:firstRow="0" w:lastRow="0" w:firstColumn="1" w:lastColumn="0" w:oddVBand="0" w:evenVBand="0" w:oddHBand="0" w:evenHBand="0" w:firstRowFirstColumn="0" w:firstRowLastColumn="0" w:lastRowFirstColumn="0" w:lastRowLastColumn="0"/>
            <w:tcW w:w="1293" w:type="pct"/>
            <w:hideMark/>
          </w:tcPr>
          <w:p w14:paraId="3E0E1D3F" w14:textId="77777777" w:rsidR="00245D0F" w:rsidRPr="00EE2307" w:rsidRDefault="00245D0F" w:rsidP="00EE2307">
            <w:pPr>
              <w:pStyle w:val="Body"/>
              <w:rPr>
                <w:sz w:val="18"/>
              </w:rPr>
            </w:pPr>
            <w:r w:rsidRPr="00EE2307">
              <w:rPr>
                <w:sz w:val="18"/>
              </w:rPr>
              <w:t>Extremely severe (81–100)</w:t>
            </w:r>
          </w:p>
        </w:tc>
        <w:tc>
          <w:tcPr>
            <w:tcW w:w="1041" w:type="pct"/>
            <w:hideMark/>
          </w:tcPr>
          <w:p w14:paraId="3E84C531"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0 (0.0)</w:t>
            </w:r>
          </w:p>
        </w:tc>
        <w:tc>
          <w:tcPr>
            <w:tcW w:w="989" w:type="pct"/>
            <w:hideMark/>
          </w:tcPr>
          <w:p w14:paraId="068DB156"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8 (100.0)</w:t>
            </w:r>
          </w:p>
        </w:tc>
        <w:tc>
          <w:tcPr>
            <w:tcW w:w="478" w:type="pct"/>
            <w:hideMark/>
          </w:tcPr>
          <w:p w14:paraId="04D8DD21"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8</w:t>
            </w:r>
          </w:p>
        </w:tc>
        <w:tc>
          <w:tcPr>
            <w:tcW w:w="415" w:type="pct"/>
            <w:hideMark/>
          </w:tcPr>
          <w:p w14:paraId="0EA7E6E6"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0.002</w:t>
            </w:r>
          </w:p>
        </w:tc>
        <w:tc>
          <w:tcPr>
            <w:tcW w:w="668" w:type="pct"/>
            <w:hideMark/>
          </w:tcPr>
          <w:p w14:paraId="5A51C9F7"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0.28</w:t>
            </w:r>
          </w:p>
        </w:tc>
      </w:tr>
      <w:tr w:rsidR="00245D0F" w:rsidRPr="00EE2307" w14:paraId="7D59C0C3" w14:textId="77777777" w:rsidTr="00245D0F">
        <w:tc>
          <w:tcPr>
            <w:cnfStyle w:val="001000000000" w:firstRow="0" w:lastRow="0" w:firstColumn="1" w:lastColumn="0" w:oddVBand="0" w:evenVBand="0" w:oddHBand="0" w:evenHBand="0" w:firstRowFirstColumn="0" w:firstRowLastColumn="0" w:lastRowFirstColumn="0" w:lastRowLastColumn="0"/>
            <w:tcW w:w="1293" w:type="pct"/>
            <w:hideMark/>
          </w:tcPr>
          <w:p w14:paraId="24BB3772" w14:textId="77777777" w:rsidR="00245D0F" w:rsidRPr="00EE2307" w:rsidRDefault="00245D0F" w:rsidP="00EE2307">
            <w:pPr>
              <w:pStyle w:val="Body"/>
              <w:rPr>
                <w:sz w:val="18"/>
              </w:rPr>
            </w:pPr>
            <w:r w:rsidRPr="00EE2307">
              <w:rPr>
                <w:sz w:val="18"/>
              </w:rPr>
              <w:t>Total</w:t>
            </w:r>
          </w:p>
        </w:tc>
        <w:tc>
          <w:tcPr>
            <w:tcW w:w="1041" w:type="pct"/>
            <w:hideMark/>
          </w:tcPr>
          <w:p w14:paraId="3D4AE695"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69</w:t>
            </w:r>
          </w:p>
        </w:tc>
        <w:tc>
          <w:tcPr>
            <w:tcW w:w="989" w:type="pct"/>
            <w:hideMark/>
          </w:tcPr>
          <w:p w14:paraId="7D7CB79E"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118</w:t>
            </w:r>
          </w:p>
        </w:tc>
        <w:tc>
          <w:tcPr>
            <w:tcW w:w="478" w:type="pct"/>
            <w:hideMark/>
          </w:tcPr>
          <w:p w14:paraId="349D3244"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187</w:t>
            </w:r>
          </w:p>
        </w:tc>
        <w:tc>
          <w:tcPr>
            <w:tcW w:w="415" w:type="pct"/>
            <w:hideMark/>
          </w:tcPr>
          <w:p w14:paraId="0D9E3CF0"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p>
        </w:tc>
        <w:tc>
          <w:tcPr>
            <w:tcW w:w="668" w:type="pct"/>
            <w:hideMark/>
          </w:tcPr>
          <w:p w14:paraId="0A947BB0"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p>
        </w:tc>
      </w:tr>
    </w:tbl>
    <w:p w14:paraId="74450AFD" w14:textId="7EEDBF7E" w:rsidR="00245D0F" w:rsidRPr="00EE2307" w:rsidRDefault="00245D0F" w:rsidP="00EE2307">
      <w:pPr>
        <w:pStyle w:val="Caption"/>
        <w:rPr>
          <w:sz w:val="18"/>
          <w:szCs w:val="18"/>
        </w:rPr>
      </w:pPr>
      <w:r w:rsidRPr="00EE2307">
        <w:rPr>
          <w:sz w:val="18"/>
          <w:szCs w:val="18"/>
        </w:rPr>
        <w:t>Table 5 Association between scapular dyskinesia (SAT) and pain intensity (NRS)</w:t>
      </w:r>
    </w:p>
    <w:tbl>
      <w:tblPr>
        <w:tblStyle w:val="GridTable1Light"/>
        <w:tblW w:w="5000" w:type="pct"/>
        <w:tblLook w:val="04A0" w:firstRow="1" w:lastRow="0" w:firstColumn="1" w:lastColumn="0" w:noHBand="0" w:noVBand="1"/>
      </w:tblPr>
      <w:tblGrid>
        <w:gridCol w:w="2139"/>
        <w:gridCol w:w="2011"/>
        <w:gridCol w:w="1916"/>
        <w:gridCol w:w="910"/>
        <w:gridCol w:w="800"/>
        <w:gridCol w:w="1251"/>
      </w:tblGrid>
      <w:tr w:rsidR="00245D0F" w:rsidRPr="00EE2307" w14:paraId="7A27D664" w14:textId="77777777" w:rsidTr="00245D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hideMark/>
          </w:tcPr>
          <w:p w14:paraId="17C37317" w14:textId="77777777" w:rsidR="00245D0F" w:rsidRPr="00EE2307" w:rsidRDefault="00245D0F" w:rsidP="00EE2307">
            <w:pPr>
              <w:pStyle w:val="Body"/>
              <w:rPr>
                <w:sz w:val="18"/>
              </w:rPr>
            </w:pPr>
            <w:r w:rsidRPr="00EE2307">
              <w:rPr>
                <w:sz w:val="18"/>
              </w:rPr>
              <w:t>Pain Category</w:t>
            </w:r>
          </w:p>
        </w:tc>
        <w:tc>
          <w:tcPr>
            <w:tcW w:w="1088" w:type="pct"/>
            <w:hideMark/>
          </w:tcPr>
          <w:p w14:paraId="4022F17A" w14:textId="77777777" w:rsidR="00245D0F" w:rsidRPr="00EE2307" w:rsidRDefault="00245D0F" w:rsidP="00EE2307">
            <w:pPr>
              <w:pStyle w:val="Body"/>
              <w:cnfStyle w:val="100000000000" w:firstRow="1" w:lastRow="0" w:firstColumn="0" w:lastColumn="0" w:oddVBand="0" w:evenVBand="0" w:oddHBand="0" w:evenHBand="0" w:firstRowFirstColumn="0" w:firstRowLastColumn="0" w:lastRowFirstColumn="0" w:lastRowLastColumn="0"/>
              <w:rPr>
                <w:sz w:val="18"/>
              </w:rPr>
            </w:pPr>
            <w:r w:rsidRPr="00EE2307">
              <w:rPr>
                <w:sz w:val="18"/>
              </w:rPr>
              <w:t>SAT Negative n (%)</w:t>
            </w:r>
          </w:p>
        </w:tc>
        <w:tc>
          <w:tcPr>
            <w:tcW w:w="1036" w:type="pct"/>
            <w:hideMark/>
          </w:tcPr>
          <w:p w14:paraId="1796B109" w14:textId="77777777" w:rsidR="00245D0F" w:rsidRPr="00EE2307" w:rsidRDefault="00245D0F" w:rsidP="00EE2307">
            <w:pPr>
              <w:pStyle w:val="Body"/>
              <w:cnfStyle w:val="100000000000" w:firstRow="1" w:lastRow="0" w:firstColumn="0" w:lastColumn="0" w:oddVBand="0" w:evenVBand="0" w:oddHBand="0" w:evenHBand="0" w:firstRowFirstColumn="0" w:firstRowLastColumn="0" w:lastRowFirstColumn="0" w:lastRowLastColumn="0"/>
              <w:rPr>
                <w:sz w:val="18"/>
              </w:rPr>
            </w:pPr>
            <w:r w:rsidRPr="00EE2307">
              <w:rPr>
                <w:sz w:val="18"/>
              </w:rPr>
              <w:t>SAT Positive n (%)</w:t>
            </w:r>
          </w:p>
        </w:tc>
        <w:tc>
          <w:tcPr>
            <w:tcW w:w="492" w:type="pct"/>
            <w:hideMark/>
          </w:tcPr>
          <w:p w14:paraId="0B126656" w14:textId="77777777" w:rsidR="00245D0F" w:rsidRPr="00EE2307" w:rsidRDefault="00245D0F" w:rsidP="00EE2307">
            <w:pPr>
              <w:pStyle w:val="Body"/>
              <w:cnfStyle w:val="100000000000" w:firstRow="1" w:lastRow="0" w:firstColumn="0" w:lastColumn="0" w:oddVBand="0" w:evenVBand="0" w:oddHBand="0" w:evenHBand="0" w:firstRowFirstColumn="0" w:firstRowLastColumn="0" w:lastRowFirstColumn="0" w:lastRowLastColumn="0"/>
              <w:rPr>
                <w:sz w:val="18"/>
              </w:rPr>
            </w:pPr>
            <w:r w:rsidRPr="00EE2307">
              <w:rPr>
                <w:sz w:val="18"/>
              </w:rPr>
              <w:t>Total (n)</w:t>
            </w:r>
          </w:p>
        </w:tc>
        <w:tc>
          <w:tcPr>
            <w:tcW w:w="433" w:type="pct"/>
            <w:hideMark/>
          </w:tcPr>
          <w:p w14:paraId="5BECB055" w14:textId="77777777" w:rsidR="00245D0F" w:rsidRPr="00EE2307" w:rsidRDefault="00245D0F" w:rsidP="00EE2307">
            <w:pPr>
              <w:pStyle w:val="Body"/>
              <w:cnfStyle w:val="100000000000" w:firstRow="1" w:lastRow="0" w:firstColumn="0" w:lastColumn="0" w:oddVBand="0" w:evenVBand="0" w:oddHBand="0" w:evenHBand="0" w:firstRowFirstColumn="0" w:firstRowLastColumn="0" w:lastRowFirstColumn="0" w:lastRowLastColumn="0"/>
              <w:rPr>
                <w:sz w:val="18"/>
              </w:rPr>
            </w:pPr>
            <w:r w:rsidRPr="00EE2307">
              <w:rPr>
                <w:sz w:val="18"/>
              </w:rPr>
              <w:t>p-value</w:t>
            </w:r>
          </w:p>
        </w:tc>
        <w:tc>
          <w:tcPr>
            <w:tcW w:w="677" w:type="pct"/>
            <w:hideMark/>
          </w:tcPr>
          <w:p w14:paraId="22358479" w14:textId="77777777" w:rsidR="00245D0F" w:rsidRPr="00EE2307" w:rsidRDefault="00245D0F" w:rsidP="00EE2307">
            <w:pPr>
              <w:pStyle w:val="Body"/>
              <w:cnfStyle w:val="100000000000" w:firstRow="1" w:lastRow="0" w:firstColumn="0" w:lastColumn="0" w:oddVBand="0" w:evenVBand="0" w:oddHBand="0" w:evenHBand="0" w:firstRowFirstColumn="0" w:firstRowLastColumn="0" w:lastRowFirstColumn="0" w:lastRowLastColumn="0"/>
              <w:rPr>
                <w:sz w:val="18"/>
              </w:rPr>
            </w:pPr>
            <w:r w:rsidRPr="00EE2307">
              <w:rPr>
                <w:sz w:val="18"/>
              </w:rPr>
              <w:t>Cramér’s V</w:t>
            </w:r>
          </w:p>
        </w:tc>
      </w:tr>
      <w:tr w:rsidR="00245D0F" w:rsidRPr="00EE2307" w14:paraId="26DB131E" w14:textId="77777777" w:rsidTr="00245D0F">
        <w:tc>
          <w:tcPr>
            <w:cnfStyle w:val="001000000000" w:firstRow="0" w:lastRow="0" w:firstColumn="1" w:lastColumn="0" w:oddVBand="0" w:evenVBand="0" w:oddHBand="0" w:evenHBand="0" w:firstRowFirstColumn="0" w:firstRowLastColumn="0" w:lastRowFirstColumn="0" w:lastRowLastColumn="0"/>
            <w:tcW w:w="1157" w:type="pct"/>
            <w:hideMark/>
          </w:tcPr>
          <w:p w14:paraId="6558C29F" w14:textId="77777777" w:rsidR="00245D0F" w:rsidRPr="00EE2307" w:rsidRDefault="00245D0F" w:rsidP="00EE2307">
            <w:pPr>
              <w:pStyle w:val="Body"/>
              <w:rPr>
                <w:sz w:val="18"/>
              </w:rPr>
            </w:pPr>
            <w:r w:rsidRPr="00EE2307">
              <w:rPr>
                <w:sz w:val="18"/>
              </w:rPr>
              <w:t>No pain</w:t>
            </w:r>
          </w:p>
        </w:tc>
        <w:tc>
          <w:tcPr>
            <w:tcW w:w="1088" w:type="pct"/>
            <w:hideMark/>
          </w:tcPr>
          <w:p w14:paraId="192F3730"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0 (0.0)</w:t>
            </w:r>
          </w:p>
        </w:tc>
        <w:tc>
          <w:tcPr>
            <w:tcW w:w="1036" w:type="pct"/>
            <w:hideMark/>
          </w:tcPr>
          <w:p w14:paraId="4364F5B8"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2 (100.0)</w:t>
            </w:r>
          </w:p>
        </w:tc>
        <w:tc>
          <w:tcPr>
            <w:tcW w:w="492" w:type="pct"/>
            <w:hideMark/>
          </w:tcPr>
          <w:p w14:paraId="1333600D"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2</w:t>
            </w:r>
          </w:p>
        </w:tc>
        <w:tc>
          <w:tcPr>
            <w:tcW w:w="433" w:type="pct"/>
            <w:hideMark/>
          </w:tcPr>
          <w:p w14:paraId="34F87BC9"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p>
        </w:tc>
        <w:tc>
          <w:tcPr>
            <w:tcW w:w="677" w:type="pct"/>
            <w:hideMark/>
          </w:tcPr>
          <w:p w14:paraId="3BB1962D"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p>
        </w:tc>
      </w:tr>
      <w:tr w:rsidR="00245D0F" w:rsidRPr="00EE2307" w14:paraId="6B8B6DB2" w14:textId="77777777" w:rsidTr="00245D0F">
        <w:tc>
          <w:tcPr>
            <w:cnfStyle w:val="001000000000" w:firstRow="0" w:lastRow="0" w:firstColumn="1" w:lastColumn="0" w:oddVBand="0" w:evenVBand="0" w:oddHBand="0" w:evenHBand="0" w:firstRowFirstColumn="0" w:firstRowLastColumn="0" w:lastRowFirstColumn="0" w:lastRowLastColumn="0"/>
            <w:tcW w:w="1157" w:type="pct"/>
            <w:hideMark/>
          </w:tcPr>
          <w:p w14:paraId="3D79266A" w14:textId="77777777" w:rsidR="00245D0F" w:rsidRPr="00EE2307" w:rsidRDefault="00245D0F" w:rsidP="00EE2307">
            <w:pPr>
              <w:pStyle w:val="Body"/>
              <w:rPr>
                <w:sz w:val="18"/>
              </w:rPr>
            </w:pPr>
            <w:r w:rsidRPr="00EE2307">
              <w:rPr>
                <w:sz w:val="18"/>
              </w:rPr>
              <w:t>Mild pain (1–3)</w:t>
            </w:r>
          </w:p>
        </w:tc>
        <w:tc>
          <w:tcPr>
            <w:tcW w:w="1088" w:type="pct"/>
            <w:hideMark/>
          </w:tcPr>
          <w:p w14:paraId="6BC3730B"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8 (44.4)</w:t>
            </w:r>
          </w:p>
        </w:tc>
        <w:tc>
          <w:tcPr>
            <w:tcW w:w="1036" w:type="pct"/>
            <w:hideMark/>
          </w:tcPr>
          <w:p w14:paraId="44215239"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10 (55.6)</w:t>
            </w:r>
          </w:p>
        </w:tc>
        <w:tc>
          <w:tcPr>
            <w:tcW w:w="492" w:type="pct"/>
            <w:hideMark/>
          </w:tcPr>
          <w:p w14:paraId="4D5C3DD5"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18</w:t>
            </w:r>
          </w:p>
        </w:tc>
        <w:tc>
          <w:tcPr>
            <w:tcW w:w="433" w:type="pct"/>
            <w:hideMark/>
          </w:tcPr>
          <w:p w14:paraId="66BCE826"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p>
        </w:tc>
        <w:tc>
          <w:tcPr>
            <w:tcW w:w="677" w:type="pct"/>
            <w:hideMark/>
          </w:tcPr>
          <w:p w14:paraId="7822D67D"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p>
        </w:tc>
      </w:tr>
      <w:tr w:rsidR="00245D0F" w:rsidRPr="00EE2307" w14:paraId="4258E04F" w14:textId="77777777" w:rsidTr="00245D0F">
        <w:tc>
          <w:tcPr>
            <w:cnfStyle w:val="001000000000" w:firstRow="0" w:lastRow="0" w:firstColumn="1" w:lastColumn="0" w:oddVBand="0" w:evenVBand="0" w:oddHBand="0" w:evenHBand="0" w:firstRowFirstColumn="0" w:firstRowLastColumn="0" w:lastRowFirstColumn="0" w:lastRowLastColumn="0"/>
            <w:tcW w:w="1157" w:type="pct"/>
            <w:hideMark/>
          </w:tcPr>
          <w:p w14:paraId="5EFC4245" w14:textId="77777777" w:rsidR="00245D0F" w:rsidRPr="00EE2307" w:rsidRDefault="00245D0F" w:rsidP="00EE2307">
            <w:pPr>
              <w:pStyle w:val="Body"/>
              <w:rPr>
                <w:sz w:val="18"/>
              </w:rPr>
            </w:pPr>
            <w:r w:rsidRPr="00EE2307">
              <w:rPr>
                <w:sz w:val="18"/>
              </w:rPr>
              <w:t>Moderate pain (4–5)</w:t>
            </w:r>
          </w:p>
        </w:tc>
        <w:tc>
          <w:tcPr>
            <w:tcW w:w="1088" w:type="pct"/>
            <w:hideMark/>
          </w:tcPr>
          <w:p w14:paraId="0E872D9B"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45 (60.8)</w:t>
            </w:r>
          </w:p>
        </w:tc>
        <w:tc>
          <w:tcPr>
            <w:tcW w:w="1036" w:type="pct"/>
            <w:hideMark/>
          </w:tcPr>
          <w:p w14:paraId="72ED534B"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29 (39.2)</w:t>
            </w:r>
          </w:p>
        </w:tc>
        <w:tc>
          <w:tcPr>
            <w:tcW w:w="492" w:type="pct"/>
            <w:hideMark/>
          </w:tcPr>
          <w:p w14:paraId="15A16919"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74</w:t>
            </w:r>
          </w:p>
        </w:tc>
        <w:tc>
          <w:tcPr>
            <w:tcW w:w="433" w:type="pct"/>
            <w:hideMark/>
          </w:tcPr>
          <w:p w14:paraId="6C499981"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p>
        </w:tc>
        <w:tc>
          <w:tcPr>
            <w:tcW w:w="677" w:type="pct"/>
            <w:hideMark/>
          </w:tcPr>
          <w:p w14:paraId="5E92D742"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p>
        </w:tc>
      </w:tr>
      <w:tr w:rsidR="00245D0F" w:rsidRPr="00EE2307" w14:paraId="69C201DC" w14:textId="77777777" w:rsidTr="00245D0F">
        <w:tc>
          <w:tcPr>
            <w:cnfStyle w:val="001000000000" w:firstRow="0" w:lastRow="0" w:firstColumn="1" w:lastColumn="0" w:oddVBand="0" w:evenVBand="0" w:oddHBand="0" w:evenHBand="0" w:firstRowFirstColumn="0" w:firstRowLastColumn="0" w:lastRowFirstColumn="0" w:lastRowLastColumn="0"/>
            <w:tcW w:w="1157" w:type="pct"/>
            <w:hideMark/>
          </w:tcPr>
          <w:p w14:paraId="66A20EAA" w14:textId="77777777" w:rsidR="00245D0F" w:rsidRPr="00EE2307" w:rsidRDefault="00245D0F" w:rsidP="00EE2307">
            <w:pPr>
              <w:pStyle w:val="Body"/>
              <w:rPr>
                <w:sz w:val="18"/>
              </w:rPr>
            </w:pPr>
            <w:r w:rsidRPr="00EE2307">
              <w:rPr>
                <w:sz w:val="18"/>
              </w:rPr>
              <w:t>Severe pain (6–7)</w:t>
            </w:r>
          </w:p>
        </w:tc>
        <w:tc>
          <w:tcPr>
            <w:tcW w:w="1088" w:type="pct"/>
            <w:hideMark/>
          </w:tcPr>
          <w:p w14:paraId="72197309"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11 (15.9)</w:t>
            </w:r>
          </w:p>
        </w:tc>
        <w:tc>
          <w:tcPr>
            <w:tcW w:w="1036" w:type="pct"/>
            <w:hideMark/>
          </w:tcPr>
          <w:p w14:paraId="555F13F5"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58 (84.1)</w:t>
            </w:r>
          </w:p>
        </w:tc>
        <w:tc>
          <w:tcPr>
            <w:tcW w:w="492" w:type="pct"/>
            <w:hideMark/>
          </w:tcPr>
          <w:p w14:paraId="3B8D893A"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69</w:t>
            </w:r>
          </w:p>
        </w:tc>
        <w:tc>
          <w:tcPr>
            <w:tcW w:w="433" w:type="pct"/>
            <w:hideMark/>
          </w:tcPr>
          <w:p w14:paraId="3FD64D23"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p>
        </w:tc>
        <w:tc>
          <w:tcPr>
            <w:tcW w:w="677" w:type="pct"/>
            <w:hideMark/>
          </w:tcPr>
          <w:p w14:paraId="1B5A141B"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p>
        </w:tc>
      </w:tr>
      <w:tr w:rsidR="00245D0F" w:rsidRPr="00EE2307" w14:paraId="293703BA" w14:textId="77777777" w:rsidTr="00245D0F">
        <w:tc>
          <w:tcPr>
            <w:cnfStyle w:val="001000000000" w:firstRow="0" w:lastRow="0" w:firstColumn="1" w:lastColumn="0" w:oddVBand="0" w:evenVBand="0" w:oddHBand="0" w:evenHBand="0" w:firstRowFirstColumn="0" w:firstRowLastColumn="0" w:lastRowFirstColumn="0" w:lastRowLastColumn="0"/>
            <w:tcW w:w="1157" w:type="pct"/>
            <w:hideMark/>
          </w:tcPr>
          <w:p w14:paraId="52CE3BA6" w14:textId="77777777" w:rsidR="00245D0F" w:rsidRPr="00EE2307" w:rsidRDefault="00245D0F" w:rsidP="00EE2307">
            <w:pPr>
              <w:pStyle w:val="Body"/>
              <w:rPr>
                <w:sz w:val="18"/>
              </w:rPr>
            </w:pPr>
            <w:r w:rsidRPr="00EE2307">
              <w:rPr>
                <w:sz w:val="18"/>
              </w:rPr>
              <w:t>Very severe pain (8–9)</w:t>
            </w:r>
          </w:p>
        </w:tc>
        <w:tc>
          <w:tcPr>
            <w:tcW w:w="1088" w:type="pct"/>
            <w:hideMark/>
          </w:tcPr>
          <w:p w14:paraId="4CD32A44"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4 (26.7)</w:t>
            </w:r>
          </w:p>
        </w:tc>
        <w:tc>
          <w:tcPr>
            <w:tcW w:w="1036" w:type="pct"/>
            <w:hideMark/>
          </w:tcPr>
          <w:p w14:paraId="5C09602C"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11 (73.3)</w:t>
            </w:r>
          </w:p>
        </w:tc>
        <w:tc>
          <w:tcPr>
            <w:tcW w:w="492" w:type="pct"/>
            <w:hideMark/>
          </w:tcPr>
          <w:p w14:paraId="6EBB6048"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15</w:t>
            </w:r>
          </w:p>
        </w:tc>
        <w:tc>
          <w:tcPr>
            <w:tcW w:w="433" w:type="pct"/>
            <w:hideMark/>
          </w:tcPr>
          <w:p w14:paraId="2569A45E"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p>
        </w:tc>
        <w:tc>
          <w:tcPr>
            <w:tcW w:w="677" w:type="pct"/>
            <w:hideMark/>
          </w:tcPr>
          <w:p w14:paraId="60D36783"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p>
        </w:tc>
      </w:tr>
      <w:tr w:rsidR="00245D0F" w:rsidRPr="00EE2307" w14:paraId="267E235D" w14:textId="77777777" w:rsidTr="00245D0F">
        <w:tc>
          <w:tcPr>
            <w:cnfStyle w:val="001000000000" w:firstRow="0" w:lastRow="0" w:firstColumn="1" w:lastColumn="0" w:oddVBand="0" w:evenVBand="0" w:oddHBand="0" w:evenHBand="0" w:firstRowFirstColumn="0" w:firstRowLastColumn="0" w:lastRowFirstColumn="0" w:lastRowLastColumn="0"/>
            <w:tcW w:w="1157" w:type="pct"/>
            <w:hideMark/>
          </w:tcPr>
          <w:p w14:paraId="3E96C911" w14:textId="77777777" w:rsidR="00245D0F" w:rsidRPr="00EE2307" w:rsidRDefault="00245D0F" w:rsidP="00EE2307">
            <w:pPr>
              <w:pStyle w:val="Body"/>
              <w:rPr>
                <w:sz w:val="18"/>
              </w:rPr>
            </w:pPr>
            <w:r w:rsidRPr="00EE2307">
              <w:rPr>
                <w:sz w:val="18"/>
              </w:rPr>
              <w:t>Worst pain (10)</w:t>
            </w:r>
          </w:p>
        </w:tc>
        <w:tc>
          <w:tcPr>
            <w:tcW w:w="1088" w:type="pct"/>
            <w:hideMark/>
          </w:tcPr>
          <w:p w14:paraId="39AC6A7E"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1 (11.1)</w:t>
            </w:r>
          </w:p>
        </w:tc>
        <w:tc>
          <w:tcPr>
            <w:tcW w:w="1036" w:type="pct"/>
            <w:hideMark/>
          </w:tcPr>
          <w:p w14:paraId="267E2B08"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8 (88.9)</w:t>
            </w:r>
          </w:p>
        </w:tc>
        <w:tc>
          <w:tcPr>
            <w:tcW w:w="492" w:type="pct"/>
            <w:hideMark/>
          </w:tcPr>
          <w:p w14:paraId="5145A1C7"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9</w:t>
            </w:r>
          </w:p>
        </w:tc>
        <w:tc>
          <w:tcPr>
            <w:tcW w:w="433" w:type="pct"/>
            <w:hideMark/>
          </w:tcPr>
          <w:p w14:paraId="775C4141"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&lt;0.001</w:t>
            </w:r>
          </w:p>
        </w:tc>
        <w:tc>
          <w:tcPr>
            <w:tcW w:w="677" w:type="pct"/>
            <w:hideMark/>
          </w:tcPr>
          <w:p w14:paraId="29406562"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0.41</w:t>
            </w:r>
          </w:p>
        </w:tc>
      </w:tr>
      <w:tr w:rsidR="00245D0F" w:rsidRPr="00EE2307" w14:paraId="78FD8B1A" w14:textId="77777777" w:rsidTr="00245D0F">
        <w:tc>
          <w:tcPr>
            <w:cnfStyle w:val="001000000000" w:firstRow="0" w:lastRow="0" w:firstColumn="1" w:lastColumn="0" w:oddVBand="0" w:evenVBand="0" w:oddHBand="0" w:evenHBand="0" w:firstRowFirstColumn="0" w:firstRowLastColumn="0" w:lastRowFirstColumn="0" w:lastRowLastColumn="0"/>
            <w:tcW w:w="1157" w:type="pct"/>
            <w:hideMark/>
          </w:tcPr>
          <w:p w14:paraId="501F7A8E" w14:textId="77777777" w:rsidR="00245D0F" w:rsidRPr="00EE2307" w:rsidRDefault="00245D0F" w:rsidP="00EE2307">
            <w:pPr>
              <w:pStyle w:val="Body"/>
              <w:rPr>
                <w:sz w:val="18"/>
              </w:rPr>
            </w:pPr>
            <w:r w:rsidRPr="00EE2307">
              <w:rPr>
                <w:sz w:val="18"/>
              </w:rPr>
              <w:t>Total</w:t>
            </w:r>
          </w:p>
        </w:tc>
        <w:tc>
          <w:tcPr>
            <w:tcW w:w="1088" w:type="pct"/>
            <w:hideMark/>
          </w:tcPr>
          <w:p w14:paraId="62AD7645"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69</w:t>
            </w:r>
          </w:p>
        </w:tc>
        <w:tc>
          <w:tcPr>
            <w:tcW w:w="1036" w:type="pct"/>
            <w:hideMark/>
          </w:tcPr>
          <w:p w14:paraId="339F295B"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118</w:t>
            </w:r>
          </w:p>
        </w:tc>
        <w:tc>
          <w:tcPr>
            <w:tcW w:w="492" w:type="pct"/>
            <w:hideMark/>
          </w:tcPr>
          <w:p w14:paraId="7C025E4C"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187</w:t>
            </w:r>
          </w:p>
        </w:tc>
        <w:tc>
          <w:tcPr>
            <w:tcW w:w="433" w:type="pct"/>
            <w:hideMark/>
          </w:tcPr>
          <w:p w14:paraId="01E88C70"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p>
        </w:tc>
        <w:tc>
          <w:tcPr>
            <w:tcW w:w="677" w:type="pct"/>
            <w:hideMark/>
          </w:tcPr>
          <w:p w14:paraId="51605DDB"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p>
        </w:tc>
      </w:tr>
    </w:tbl>
    <w:p w14:paraId="7DB87706" w14:textId="2B3BF226" w:rsidR="00245D0F" w:rsidRPr="00EE2307" w:rsidRDefault="00245D0F" w:rsidP="00EE2307">
      <w:pPr>
        <w:pStyle w:val="Caption"/>
        <w:rPr>
          <w:sz w:val="18"/>
          <w:szCs w:val="18"/>
        </w:rPr>
      </w:pPr>
      <w:r w:rsidRPr="00EE2307">
        <w:rPr>
          <w:sz w:val="18"/>
          <w:szCs w:val="18"/>
        </w:rPr>
        <w:t>Table 6 Association between scapular dyskinesia (SAT) and neck disability (NDI)</w:t>
      </w:r>
    </w:p>
    <w:tbl>
      <w:tblPr>
        <w:tblStyle w:val="GridTable1Light"/>
        <w:tblW w:w="5000" w:type="pct"/>
        <w:tblLook w:val="04A0" w:firstRow="1" w:lastRow="0" w:firstColumn="1" w:lastColumn="0" w:noHBand="0" w:noVBand="1"/>
      </w:tblPr>
      <w:tblGrid>
        <w:gridCol w:w="1921"/>
        <w:gridCol w:w="2100"/>
        <w:gridCol w:w="2004"/>
        <w:gridCol w:w="935"/>
        <w:gridCol w:w="800"/>
        <w:gridCol w:w="1267"/>
      </w:tblGrid>
      <w:tr w:rsidR="00245D0F" w:rsidRPr="00EE2307" w14:paraId="627EFE00" w14:textId="77777777" w:rsidTr="00245D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 w:type="pct"/>
            <w:hideMark/>
          </w:tcPr>
          <w:p w14:paraId="28BB165F" w14:textId="77777777" w:rsidR="00245D0F" w:rsidRPr="00EE2307" w:rsidRDefault="00245D0F" w:rsidP="00EE2307">
            <w:pPr>
              <w:pStyle w:val="Body"/>
              <w:rPr>
                <w:sz w:val="18"/>
              </w:rPr>
            </w:pPr>
            <w:r w:rsidRPr="00EE2307">
              <w:rPr>
                <w:sz w:val="18"/>
              </w:rPr>
              <w:t>NDI Category</w:t>
            </w:r>
          </w:p>
        </w:tc>
        <w:tc>
          <w:tcPr>
            <w:tcW w:w="1136" w:type="pct"/>
            <w:hideMark/>
          </w:tcPr>
          <w:p w14:paraId="2C55F149" w14:textId="77777777" w:rsidR="00245D0F" w:rsidRPr="00EE2307" w:rsidRDefault="00245D0F" w:rsidP="00EE2307">
            <w:pPr>
              <w:pStyle w:val="Body"/>
              <w:cnfStyle w:val="100000000000" w:firstRow="1" w:lastRow="0" w:firstColumn="0" w:lastColumn="0" w:oddVBand="0" w:evenVBand="0" w:oddHBand="0" w:evenHBand="0" w:firstRowFirstColumn="0" w:firstRowLastColumn="0" w:lastRowFirstColumn="0" w:lastRowLastColumn="0"/>
              <w:rPr>
                <w:sz w:val="18"/>
              </w:rPr>
            </w:pPr>
            <w:r w:rsidRPr="00EE2307">
              <w:rPr>
                <w:sz w:val="18"/>
              </w:rPr>
              <w:t>SAT Negative n (%)</w:t>
            </w:r>
          </w:p>
        </w:tc>
        <w:tc>
          <w:tcPr>
            <w:tcW w:w="1084" w:type="pct"/>
            <w:hideMark/>
          </w:tcPr>
          <w:p w14:paraId="78164EE3" w14:textId="77777777" w:rsidR="00245D0F" w:rsidRPr="00EE2307" w:rsidRDefault="00245D0F" w:rsidP="00EE2307">
            <w:pPr>
              <w:pStyle w:val="Body"/>
              <w:cnfStyle w:val="100000000000" w:firstRow="1" w:lastRow="0" w:firstColumn="0" w:lastColumn="0" w:oddVBand="0" w:evenVBand="0" w:oddHBand="0" w:evenHBand="0" w:firstRowFirstColumn="0" w:firstRowLastColumn="0" w:lastRowFirstColumn="0" w:lastRowLastColumn="0"/>
              <w:rPr>
                <w:sz w:val="18"/>
              </w:rPr>
            </w:pPr>
            <w:r w:rsidRPr="00EE2307">
              <w:rPr>
                <w:sz w:val="18"/>
              </w:rPr>
              <w:t>SAT Positive n (%)</w:t>
            </w:r>
          </w:p>
        </w:tc>
        <w:tc>
          <w:tcPr>
            <w:tcW w:w="506" w:type="pct"/>
            <w:hideMark/>
          </w:tcPr>
          <w:p w14:paraId="0ADD64B6" w14:textId="77777777" w:rsidR="00245D0F" w:rsidRPr="00EE2307" w:rsidRDefault="00245D0F" w:rsidP="00EE2307">
            <w:pPr>
              <w:pStyle w:val="Body"/>
              <w:cnfStyle w:val="100000000000" w:firstRow="1" w:lastRow="0" w:firstColumn="0" w:lastColumn="0" w:oddVBand="0" w:evenVBand="0" w:oddHBand="0" w:evenHBand="0" w:firstRowFirstColumn="0" w:firstRowLastColumn="0" w:lastRowFirstColumn="0" w:lastRowLastColumn="0"/>
              <w:rPr>
                <w:sz w:val="18"/>
              </w:rPr>
            </w:pPr>
            <w:r w:rsidRPr="00EE2307">
              <w:rPr>
                <w:sz w:val="18"/>
              </w:rPr>
              <w:t>Total (n)</w:t>
            </w:r>
          </w:p>
        </w:tc>
        <w:tc>
          <w:tcPr>
            <w:tcW w:w="433" w:type="pct"/>
            <w:hideMark/>
          </w:tcPr>
          <w:p w14:paraId="6A6D5289" w14:textId="77777777" w:rsidR="00245D0F" w:rsidRPr="00EE2307" w:rsidRDefault="00245D0F" w:rsidP="00EE2307">
            <w:pPr>
              <w:pStyle w:val="Body"/>
              <w:cnfStyle w:val="100000000000" w:firstRow="1" w:lastRow="0" w:firstColumn="0" w:lastColumn="0" w:oddVBand="0" w:evenVBand="0" w:oddHBand="0" w:evenHBand="0" w:firstRowFirstColumn="0" w:firstRowLastColumn="0" w:lastRowFirstColumn="0" w:lastRowLastColumn="0"/>
              <w:rPr>
                <w:sz w:val="18"/>
              </w:rPr>
            </w:pPr>
            <w:r w:rsidRPr="00EE2307">
              <w:rPr>
                <w:sz w:val="18"/>
              </w:rPr>
              <w:t>p-value</w:t>
            </w:r>
          </w:p>
        </w:tc>
        <w:tc>
          <w:tcPr>
            <w:tcW w:w="686" w:type="pct"/>
            <w:hideMark/>
          </w:tcPr>
          <w:p w14:paraId="7F04495A" w14:textId="77777777" w:rsidR="00245D0F" w:rsidRPr="00EE2307" w:rsidRDefault="00245D0F" w:rsidP="00EE2307">
            <w:pPr>
              <w:pStyle w:val="Body"/>
              <w:cnfStyle w:val="100000000000" w:firstRow="1" w:lastRow="0" w:firstColumn="0" w:lastColumn="0" w:oddVBand="0" w:evenVBand="0" w:oddHBand="0" w:evenHBand="0" w:firstRowFirstColumn="0" w:firstRowLastColumn="0" w:lastRowFirstColumn="0" w:lastRowLastColumn="0"/>
              <w:rPr>
                <w:sz w:val="18"/>
              </w:rPr>
            </w:pPr>
            <w:r w:rsidRPr="00EE2307">
              <w:rPr>
                <w:sz w:val="18"/>
              </w:rPr>
              <w:t>Cramér’s V</w:t>
            </w:r>
          </w:p>
        </w:tc>
      </w:tr>
      <w:tr w:rsidR="00245D0F" w:rsidRPr="00EE2307" w14:paraId="28233FA1" w14:textId="77777777" w:rsidTr="00245D0F">
        <w:tc>
          <w:tcPr>
            <w:cnfStyle w:val="001000000000" w:firstRow="0" w:lastRow="0" w:firstColumn="1" w:lastColumn="0" w:oddVBand="0" w:evenVBand="0" w:oddHBand="0" w:evenHBand="0" w:firstRowFirstColumn="0" w:firstRowLastColumn="0" w:lastRowFirstColumn="0" w:lastRowLastColumn="0"/>
            <w:tcW w:w="1039" w:type="pct"/>
            <w:hideMark/>
          </w:tcPr>
          <w:p w14:paraId="3CE32D07" w14:textId="77777777" w:rsidR="00245D0F" w:rsidRPr="00EE2307" w:rsidRDefault="00245D0F" w:rsidP="00EE2307">
            <w:pPr>
              <w:pStyle w:val="Body"/>
              <w:rPr>
                <w:sz w:val="18"/>
              </w:rPr>
            </w:pPr>
            <w:r w:rsidRPr="00EE2307">
              <w:rPr>
                <w:sz w:val="18"/>
              </w:rPr>
              <w:t>Moderate disability</w:t>
            </w:r>
          </w:p>
        </w:tc>
        <w:tc>
          <w:tcPr>
            <w:tcW w:w="1136" w:type="pct"/>
            <w:hideMark/>
          </w:tcPr>
          <w:p w14:paraId="72433603"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41 (46.6)</w:t>
            </w:r>
          </w:p>
        </w:tc>
        <w:tc>
          <w:tcPr>
            <w:tcW w:w="1084" w:type="pct"/>
            <w:hideMark/>
          </w:tcPr>
          <w:p w14:paraId="177C1471"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47 (53.4)</w:t>
            </w:r>
          </w:p>
        </w:tc>
        <w:tc>
          <w:tcPr>
            <w:tcW w:w="506" w:type="pct"/>
            <w:hideMark/>
          </w:tcPr>
          <w:p w14:paraId="0E28F691"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88</w:t>
            </w:r>
          </w:p>
        </w:tc>
        <w:tc>
          <w:tcPr>
            <w:tcW w:w="433" w:type="pct"/>
            <w:hideMark/>
          </w:tcPr>
          <w:p w14:paraId="5487BF0A"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p>
        </w:tc>
        <w:tc>
          <w:tcPr>
            <w:tcW w:w="686" w:type="pct"/>
            <w:hideMark/>
          </w:tcPr>
          <w:p w14:paraId="76B8BC78"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p>
        </w:tc>
      </w:tr>
      <w:tr w:rsidR="00245D0F" w:rsidRPr="00EE2307" w14:paraId="2B07E3C6" w14:textId="77777777" w:rsidTr="00245D0F">
        <w:tc>
          <w:tcPr>
            <w:cnfStyle w:val="001000000000" w:firstRow="0" w:lastRow="0" w:firstColumn="1" w:lastColumn="0" w:oddVBand="0" w:evenVBand="0" w:oddHBand="0" w:evenHBand="0" w:firstRowFirstColumn="0" w:firstRowLastColumn="0" w:lastRowFirstColumn="0" w:lastRowLastColumn="0"/>
            <w:tcW w:w="1039" w:type="pct"/>
            <w:hideMark/>
          </w:tcPr>
          <w:p w14:paraId="6B4CDD06" w14:textId="77777777" w:rsidR="00245D0F" w:rsidRPr="00EE2307" w:rsidRDefault="00245D0F" w:rsidP="00EE2307">
            <w:pPr>
              <w:pStyle w:val="Body"/>
              <w:rPr>
                <w:sz w:val="18"/>
              </w:rPr>
            </w:pPr>
            <w:r w:rsidRPr="00EE2307">
              <w:rPr>
                <w:sz w:val="18"/>
              </w:rPr>
              <w:t>Severe disability</w:t>
            </w:r>
          </w:p>
        </w:tc>
        <w:tc>
          <w:tcPr>
            <w:tcW w:w="1136" w:type="pct"/>
            <w:hideMark/>
          </w:tcPr>
          <w:p w14:paraId="7EC831B4"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28 (33.3)</w:t>
            </w:r>
          </w:p>
        </w:tc>
        <w:tc>
          <w:tcPr>
            <w:tcW w:w="1084" w:type="pct"/>
            <w:hideMark/>
          </w:tcPr>
          <w:p w14:paraId="6127B06A"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56 (66.7)</w:t>
            </w:r>
          </w:p>
        </w:tc>
        <w:tc>
          <w:tcPr>
            <w:tcW w:w="506" w:type="pct"/>
            <w:hideMark/>
          </w:tcPr>
          <w:p w14:paraId="4AA7AD3F"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84</w:t>
            </w:r>
          </w:p>
        </w:tc>
        <w:tc>
          <w:tcPr>
            <w:tcW w:w="433" w:type="pct"/>
            <w:hideMark/>
          </w:tcPr>
          <w:p w14:paraId="1DAE2274"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p>
        </w:tc>
        <w:tc>
          <w:tcPr>
            <w:tcW w:w="686" w:type="pct"/>
            <w:hideMark/>
          </w:tcPr>
          <w:p w14:paraId="3C6C8A71"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p>
        </w:tc>
      </w:tr>
      <w:tr w:rsidR="00245D0F" w:rsidRPr="00EE2307" w14:paraId="6E41A269" w14:textId="77777777" w:rsidTr="00245D0F">
        <w:tc>
          <w:tcPr>
            <w:cnfStyle w:val="001000000000" w:firstRow="0" w:lastRow="0" w:firstColumn="1" w:lastColumn="0" w:oddVBand="0" w:evenVBand="0" w:oddHBand="0" w:evenHBand="0" w:firstRowFirstColumn="0" w:firstRowLastColumn="0" w:lastRowFirstColumn="0" w:lastRowLastColumn="0"/>
            <w:tcW w:w="1039" w:type="pct"/>
            <w:hideMark/>
          </w:tcPr>
          <w:p w14:paraId="68B9EAC9" w14:textId="77777777" w:rsidR="00245D0F" w:rsidRPr="00EE2307" w:rsidRDefault="00245D0F" w:rsidP="00EE2307">
            <w:pPr>
              <w:pStyle w:val="Body"/>
              <w:rPr>
                <w:sz w:val="18"/>
              </w:rPr>
            </w:pPr>
            <w:r w:rsidRPr="00EE2307">
              <w:rPr>
                <w:sz w:val="18"/>
              </w:rPr>
              <w:t>Complete disability</w:t>
            </w:r>
          </w:p>
        </w:tc>
        <w:tc>
          <w:tcPr>
            <w:tcW w:w="1136" w:type="pct"/>
            <w:hideMark/>
          </w:tcPr>
          <w:p w14:paraId="3F710247"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0 (0.0)</w:t>
            </w:r>
          </w:p>
        </w:tc>
        <w:tc>
          <w:tcPr>
            <w:tcW w:w="1084" w:type="pct"/>
            <w:hideMark/>
          </w:tcPr>
          <w:p w14:paraId="6D712ECA"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15 (100.0)</w:t>
            </w:r>
          </w:p>
        </w:tc>
        <w:tc>
          <w:tcPr>
            <w:tcW w:w="506" w:type="pct"/>
            <w:hideMark/>
          </w:tcPr>
          <w:p w14:paraId="2A1CE2C9"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15</w:t>
            </w:r>
          </w:p>
        </w:tc>
        <w:tc>
          <w:tcPr>
            <w:tcW w:w="433" w:type="pct"/>
            <w:hideMark/>
          </w:tcPr>
          <w:p w14:paraId="313505F9"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0.013</w:t>
            </w:r>
          </w:p>
        </w:tc>
        <w:tc>
          <w:tcPr>
            <w:tcW w:w="686" w:type="pct"/>
            <w:hideMark/>
          </w:tcPr>
          <w:p w14:paraId="5A32E9D6"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0.21</w:t>
            </w:r>
          </w:p>
        </w:tc>
      </w:tr>
      <w:tr w:rsidR="00245D0F" w:rsidRPr="00EE2307" w14:paraId="7F483237" w14:textId="77777777" w:rsidTr="00245D0F">
        <w:tc>
          <w:tcPr>
            <w:cnfStyle w:val="001000000000" w:firstRow="0" w:lastRow="0" w:firstColumn="1" w:lastColumn="0" w:oddVBand="0" w:evenVBand="0" w:oddHBand="0" w:evenHBand="0" w:firstRowFirstColumn="0" w:firstRowLastColumn="0" w:lastRowFirstColumn="0" w:lastRowLastColumn="0"/>
            <w:tcW w:w="1039" w:type="pct"/>
            <w:hideMark/>
          </w:tcPr>
          <w:p w14:paraId="67009705" w14:textId="77777777" w:rsidR="00245D0F" w:rsidRPr="00EE2307" w:rsidRDefault="00245D0F" w:rsidP="00EE2307">
            <w:pPr>
              <w:pStyle w:val="Body"/>
              <w:rPr>
                <w:sz w:val="18"/>
              </w:rPr>
            </w:pPr>
            <w:r w:rsidRPr="00EE2307">
              <w:rPr>
                <w:sz w:val="18"/>
              </w:rPr>
              <w:t>Total</w:t>
            </w:r>
          </w:p>
        </w:tc>
        <w:tc>
          <w:tcPr>
            <w:tcW w:w="1136" w:type="pct"/>
            <w:hideMark/>
          </w:tcPr>
          <w:p w14:paraId="1CAE84D8"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69</w:t>
            </w:r>
          </w:p>
        </w:tc>
        <w:tc>
          <w:tcPr>
            <w:tcW w:w="1084" w:type="pct"/>
            <w:hideMark/>
          </w:tcPr>
          <w:p w14:paraId="6E2B06C4"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118</w:t>
            </w:r>
          </w:p>
        </w:tc>
        <w:tc>
          <w:tcPr>
            <w:tcW w:w="506" w:type="pct"/>
            <w:hideMark/>
          </w:tcPr>
          <w:p w14:paraId="03AF852B"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r w:rsidRPr="00EE2307">
              <w:rPr>
                <w:b w:val="0"/>
                <w:bCs/>
                <w:sz w:val="18"/>
              </w:rPr>
              <w:t>187</w:t>
            </w:r>
          </w:p>
        </w:tc>
        <w:tc>
          <w:tcPr>
            <w:tcW w:w="433" w:type="pct"/>
            <w:hideMark/>
          </w:tcPr>
          <w:p w14:paraId="7F946EC0"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p>
        </w:tc>
        <w:tc>
          <w:tcPr>
            <w:tcW w:w="686" w:type="pct"/>
            <w:hideMark/>
          </w:tcPr>
          <w:p w14:paraId="7C69BB6D" w14:textId="77777777" w:rsidR="00245D0F" w:rsidRPr="00EE2307" w:rsidRDefault="00245D0F" w:rsidP="00EE2307">
            <w:pPr>
              <w:pStyle w:val="Body"/>
              <w:cnfStyle w:val="000000000000" w:firstRow="0" w:lastRow="0" w:firstColumn="0" w:lastColumn="0" w:oddVBand="0" w:evenVBand="0" w:oddHBand="0" w:evenHBand="0" w:firstRowFirstColumn="0" w:firstRowLastColumn="0" w:lastRowFirstColumn="0" w:lastRowLastColumn="0"/>
              <w:rPr>
                <w:b w:val="0"/>
                <w:bCs/>
                <w:sz w:val="18"/>
              </w:rPr>
            </w:pPr>
          </w:p>
        </w:tc>
      </w:tr>
    </w:tbl>
    <w:p w14:paraId="21565A48" w14:textId="77777777" w:rsidR="00EE2307" w:rsidRPr="00EE2307" w:rsidRDefault="00EE2307" w:rsidP="00EE2307">
      <w:pPr>
        <w:pStyle w:val="Body"/>
      </w:pPr>
    </w:p>
    <w:p w14:paraId="65285BAE" w14:textId="2B8ED38C" w:rsidR="00245D0F" w:rsidRPr="00EE2307" w:rsidRDefault="00245D0F" w:rsidP="00EE2307">
      <w:pPr>
        <w:pStyle w:val="Body"/>
        <w:jc w:val="center"/>
      </w:pPr>
      <w:r w:rsidRPr="00EE2307">
        <w:rPr>
          <w:noProof/>
        </w:rPr>
        <w:drawing>
          <wp:inline distT="0" distB="0" distL="0" distR="0" wp14:anchorId="0C0CD9B2" wp14:editId="687FCE98">
            <wp:extent cx="4114800" cy="2286000"/>
            <wp:effectExtent l="0" t="0" r="0" b="0"/>
            <wp:docPr id="1578323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2286000"/>
                    </a:xfrm>
                    <a:prstGeom prst="rect">
                      <a:avLst/>
                    </a:prstGeom>
                    <a:noFill/>
                  </pic:spPr>
                </pic:pic>
              </a:graphicData>
            </a:graphic>
          </wp:inline>
        </w:drawing>
      </w:r>
    </w:p>
    <w:p w14:paraId="12C08886" w14:textId="4D6EB206" w:rsidR="00245D0F" w:rsidRPr="00EE2307" w:rsidRDefault="00245D0F" w:rsidP="00EE2307">
      <w:pPr>
        <w:pStyle w:val="Caption"/>
      </w:pPr>
      <w:r w:rsidRPr="00EE2307">
        <w:t xml:space="preserve">Figure </w:t>
      </w:r>
      <w:r w:rsidRPr="00EE2307">
        <w:fldChar w:fldCharType="begin"/>
      </w:r>
      <w:r w:rsidRPr="00EE2307">
        <w:instrText xml:space="preserve"> SEQ Figure \* ARABIC </w:instrText>
      </w:r>
      <w:r w:rsidRPr="00EE2307">
        <w:fldChar w:fldCharType="separate"/>
      </w:r>
      <w:r w:rsidRPr="00EE2307">
        <w:t>1</w:t>
      </w:r>
      <w:r w:rsidRPr="00EE2307">
        <w:fldChar w:fldCharType="end"/>
      </w:r>
      <w:r w:rsidRPr="00EE2307">
        <w:t xml:space="preserve"> Gradient Relationship Between Pain Intensity </w:t>
      </w:r>
      <w:r w:rsidR="00EE2307" w:rsidRPr="00EE2307">
        <w:t>and</w:t>
      </w:r>
      <w:r w:rsidRPr="00EE2307">
        <w:t xml:space="preserve"> Probability </w:t>
      </w:r>
      <w:r w:rsidR="00EE2307">
        <w:t>o</w:t>
      </w:r>
      <w:r w:rsidRPr="00EE2307">
        <w:t>f Scapular Dyskinesia Among Gym-Goers</w:t>
      </w:r>
    </w:p>
    <w:p w14:paraId="2B88A5D2" w14:textId="0891FA14" w:rsidR="00245D0F" w:rsidRPr="00EE2307" w:rsidRDefault="00245D0F" w:rsidP="00EE2307">
      <w:pPr>
        <w:pStyle w:val="Body"/>
      </w:pPr>
      <w:r w:rsidRPr="00EE2307">
        <w:lastRenderedPageBreak/>
        <w:t xml:space="preserve">The visualization demonstrates a progressive increase in the proportion of participants with a positive Scapular Assistance Test (SAT) as pain intensity rises. At the lowest pain level (NRS </w:t>
      </w:r>
      <w:r w:rsidRPr="00EE2307">
        <w:rPr>
          <w:rFonts w:ascii="Cambria Math" w:hAnsi="Cambria Math" w:cs="Cambria Math"/>
        </w:rPr>
        <w:t>≈</w:t>
      </w:r>
      <w:r w:rsidRPr="00EE2307">
        <w:t xml:space="preserve"> 0), 100% of the small subgroup (2/2) showed positive SAT findings, while in the mild pain range (NRS </w:t>
      </w:r>
      <w:r w:rsidRPr="00EE2307">
        <w:rPr>
          <w:rFonts w:ascii="Cambria Math" w:hAnsi="Cambria Math" w:cs="Cambria Math"/>
        </w:rPr>
        <w:t>≈</w:t>
      </w:r>
      <w:r w:rsidRPr="00EE2307">
        <w:t xml:space="preserve"> 2) the positivity rate decreased to 55.6% (10/18). In the moderate pain category (NRS </w:t>
      </w:r>
      <w:r w:rsidRPr="00EE2307">
        <w:rPr>
          <w:rFonts w:ascii="Cambria Math" w:hAnsi="Cambria Math" w:cs="Cambria Math"/>
        </w:rPr>
        <w:t>≈</w:t>
      </w:r>
      <w:r w:rsidRPr="00EE2307">
        <w:t xml:space="preserve"> 4.5), the proportion was 39.2% (29/74), representing the largest participant cluster. However, the prevalence increased markedly at higher pain intensities: 84.1% (58/69) of individuals with severe pain (NRS </w:t>
      </w:r>
      <w:r w:rsidRPr="00EE2307">
        <w:rPr>
          <w:rFonts w:ascii="Cambria Math" w:hAnsi="Cambria Math" w:cs="Cambria Math"/>
        </w:rPr>
        <w:t>≈</w:t>
      </w:r>
      <w:r w:rsidRPr="00EE2307">
        <w:t xml:space="preserve"> 6.5) demonstrated positive SAT findings, followed by 73.3% (11/15) in the very severe category (NRS </w:t>
      </w:r>
      <w:r w:rsidRPr="00EE2307">
        <w:rPr>
          <w:rFonts w:ascii="Cambria Math" w:hAnsi="Cambria Math" w:cs="Cambria Math"/>
        </w:rPr>
        <w:t>≈</w:t>
      </w:r>
      <w:r w:rsidRPr="00EE2307">
        <w:t xml:space="preserve"> 8.5) and 88.9% (8/9) among participants reporting the worst pain level (NRS = 10). The fitted trend line indicates an overall upward gradient, suggesting that the probability of scapular dyskinesia increases with escalating pain intensity. Clinically, this pattern supports the observed statistical association between pain severity and altered scapular mechanics, highlighting that individuals with higher pain scores are substantially more likely to exhibit scapular dyskinesia, particularly in the severe and worst pain categories where prevalence exceeds 70–85%. </w:t>
      </w:r>
    </w:p>
    <w:p w14:paraId="44952D26" w14:textId="77777777" w:rsidR="00D23A2C" w:rsidRPr="00EE2307" w:rsidRDefault="00D23A2C" w:rsidP="00EE2307">
      <w:pPr>
        <w:pStyle w:val="Heading1"/>
      </w:pPr>
      <w:r w:rsidRPr="00EE2307">
        <w:t>Discussion</w:t>
      </w:r>
    </w:p>
    <w:p w14:paraId="50CF1085" w14:textId="77777777" w:rsidR="00245D0F" w:rsidRPr="00EE2307" w:rsidRDefault="00245D0F" w:rsidP="00EE2307">
      <w:pPr>
        <w:pStyle w:val="Body"/>
      </w:pPr>
      <w:r w:rsidRPr="00EE2307">
        <w:t>The present study examined the association between clinically assessed scapular dyskinesia, neck disability, pain intensity, and shoulder-related functional performance among recreational gym-goers. The findings demonstrated that 63.1% of participants exhibited positive Scapular Assistance Test (SAT) findings, indicating the presence of altered scapular mechanics. Significant associations were identified between scapular dyskinesia and shoulder functional disability (SPADI), pain intensity (NRS), and neck disability (NDI). Participants with positive SAT findings were more frequently represented in higher disability and pain categories, suggesting that abnormal scapular movement patterns may contribute to greater musculoskeletal impairment in physically active individuals.</w:t>
      </w:r>
    </w:p>
    <w:p w14:paraId="32B9AF16" w14:textId="77777777" w:rsidR="00245D0F" w:rsidRPr="00EE2307" w:rsidRDefault="00245D0F" w:rsidP="00EE2307">
      <w:pPr>
        <w:pStyle w:val="Body"/>
      </w:pPr>
      <w:r w:rsidRPr="00EE2307">
        <w:t>The prevalence of scapular dyskinesia observed in this study is consistent with previous literature reporting high rates of altered scapular kinematics in active populations. A systematic review reported that scapular dyskinesia may be present in up to 61% of overhead athletes, emphasizing the common occurrence of scapular dysfunction during repetitive upper-limb activities (11). The prevalence identified in the present study among recreational gym-goers (63.1%) is comparable to these findings and may reflect the mechanical demands associated with resistance training exercises that involve repetitive shoulder elevation and loading. Such movements can challenge scapular stabilizing muscles and may predispose individuals to abnormal scapulothoracic motion patterns if neuromuscular control is compromised (22).</w:t>
      </w:r>
    </w:p>
    <w:p w14:paraId="187EA0A2" w14:textId="77777777" w:rsidR="00245D0F" w:rsidRPr="00EE2307" w:rsidRDefault="00245D0F" w:rsidP="00EE2307">
      <w:pPr>
        <w:pStyle w:val="Body"/>
      </w:pPr>
      <w:r w:rsidRPr="00EE2307">
        <w:t>A key finding of this study was the significant association between scapular dyskinesia and shoulder-related functional performance, as measured using the SPADI. Participants with positive SAT findings were disproportionately represented in the very severe and extremely severe SPADI categories, indicating greater pain and disability during functional activities involving the shoulder. These findings are consistent with previous investigations demonstrating that altered scapular motion is associated with impaired shoulder biomechanics, decreased strength, and reduced functional performance during dynamic movements (13). When scapular upward rotation and posterior tilting are compromised, the glenohumeral joint may experience abnormal loading patterns, potentially increasing the risk of subacromial impingement and activity-related pain (5). Consequently, individuals with scapular dyskinesia may adopt compensatory movement strategies that further limit functional capacity.</w:t>
      </w:r>
    </w:p>
    <w:p w14:paraId="4CE51ED3" w14:textId="77777777" w:rsidR="00245D0F" w:rsidRPr="00EE2307" w:rsidRDefault="00245D0F" w:rsidP="00EE2307">
      <w:pPr>
        <w:pStyle w:val="Body"/>
      </w:pPr>
      <w:r w:rsidRPr="00EE2307">
        <w:t xml:space="preserve">The study also identified a strong association between pain intensity and scapular dyskinesia, with a greater proportion of SAT-positive participants observed in higher pain categories. For example, more than 80% of individuals reporting severe pain demonstrated positive SAT findings. This pattern aligns with previous research suggesting that abnormal scapular positioning may contribute to mechanical stress within the shoulder complex, leading to pain during repetitive or resisted movements (6). Altered scapular kinematics can reduce the subacromial space and increase compression of soft tissues such as </w:t>
      </w:r>
      <w:r w:rsidRPr="00EE2307">
        <w:lastRenderedPageBreak/>
        <w:t>the rotator cuff tendons and subacromial bursa, which may exacerbate pain during upper-extremity activity (23). Additionally, muscle fatigue and neuromuscular imbalance within the scapular stabilizing musculature may further contribute to pain perception during exercise or functional tasks.</w:t>
      </w:r>
    </w:p>
    <w:p w14:paraId="0CDC526E" w14:textId="77777777" w:rsidR="00245D0F" w:rsidRPr="00EE2307" w:rsidRDefault="00245D0F" w:rsidP="00EE2307">
      <w:pPr>
        <w:pStyle w:val="Body"/>
      </w:pPr>
      <w:r w:rsidRPr="00EE2307">
        <w:t>Another important observation from this study was the significant relationship between scapular dyskinesia and neck disability, as measured using the NDI. Participants with positive SAT findings demonstrated higher levels of cervical functional impairment compared with those without scapular dyskinesia. These results support previous evidence suggesting that scapular mechanics are closely linked to cervicothoracic posture and muscle activation patterns. Altered scapular positioning may increase mechanical loading on cervical structures and modify activation patterns of neck musculature, thereby contributing to neck pain and disability (8). Studies investigating individuals with chronic neck pain have also reported reduced scapular muscle endurance and abnormal scapular kinematics compared with asymptomatic individuals (15). The findings of the present study reinforce the concept that dysfunction within the scapulothoracic complex can influence cervical spine function and overall upper-quarter biomechanics.</w:t>
      </w:r>
    </w:p>
    <w:p w14:paraId="7B530E43" w14:textId="77777777" w:rsidR="00245D0F" w:rsidRPr="00EE2307" w:rsidRDefault="00245D0F" w:rsidP="00EE2307">
      <w:pPr>
        <w:pStyle w:val="Body"/>
      </w:pPr>
      <w:r w:rsidRPr="00EE2307">
        <w:t xml:space="preserve">From a biomechanical perspective, the observed relationships can be explained through the concept of the upper-quarter kinetic chain, in which coordinated movement between the cervical spine, scapula, and glenohumeral joint is required for efficient upper-limb function. Disruption at the scapular level may alter force transmission and muscle recruitment patterns across the shoulder girdle and cervical region (24). In gym-based training environments, exercises such as bench press, overhead press, and </w:t>
      </w:r>
      <w:proofErr w:type="spellStart"/>
      <w:r w:rsidRPr="00EE2307">
        <w:t>lat</w:t>
      </w:r>
      <w:proofErr w:type="spellEnd"/>
      <w:r w:rsidRPr="00EE2307">
        <w:t xml:space="preserve"> pulldowns place repeated demands on the scapular stabilizing musculature. Inadequate neuromuscular control or muscle imbalance during these activities may lead to progressive alterations in scapular movement, which in turn can contribute to pain and functional limitations.</w:t>
      </w:r>
    </w:p>
    <w:p w14:paraId="3C572B68" w14:textId="77777777" w:rsidR="00245D0F" w:rsidRPr="00EE2307" w:rsidRDefault="00245D0F" w:rsidP="00EE2307">
      <w:pPr>
        <w:pStyle w:val="Body"/>
      </w:pPr>
      <w:r w:rsidRPr="00EE2307">
        <w:t>The findings of this study have important clinical implications for physiotherapists, sports medicine practitioners, and strength and conditioning professionals working with recreational athletes and gym-goers. Screening for scapular dyskinesia using simple clinical tests such as the SAT may help identify individuals at risk of developing shoulder or neck dysfunction. Early recognition of abnormal scapular mechanics could allow implementation of targeted rehabilitation strategies focusing on scapular stabilization, neuromuscular retraining, and postural correction, which have been shown to improve shoulder mechanics and reduce pain in active populations (14). Integrating such interventions into training programs may help prevent progression of musculoskeletal dysfunction and optimize performance.</w:t>
      </w:r>
    </w:p>
    <w:p w14:paraId="7729136A" w14:textId="77777777" w:rsidR="00245D0F" w:rsidRPr="00EE2307" w:rsidRDefault="00245D0F" w:rsidP="00EE2307">
      <w:pPr>
        <w:pStyle w:val="Body"/>
      </w:pPr>
      <w:r w:rsidRPr="00EE2307">
        <w:t>Several limitations should be considered when interpreting the findings of this study. The cross-sectional design limits the ability to infer causality between scapular dyskinesia and clinical outcomes. Therefore, it cannot be determined whether scapular dyskinesia contributes directly to pain and disability or whether pain leads to altered scapular movement patterns. The study also relied on convenience sampling from gyms within a single city, which may limit generalizability to other populations or training environments. Additionally, the assessment of scapular dyskinesia was performed using a clinical test rather than objective biomechanical measurement tools such as three-dimensional motion analysis or electromyography. Future studies incorporating longitudinal designs and advanced motion analysis techniques may provide a more comprehensive understanding of the causal mechanisms underlying the relationship between scapular dysfunction and musculoskeletal outcomes.</w:t>
      </w:r>
    </w:p>
    <w:p w14:paraId="0774F16C" w14:textId="2F2375A2" w:rsidR="00D23A2C" w:rsidRPr="00EE2307" w:rsidRDefault="00245D0F" w:rsidP="00EE2307">
      <w:pPr>
        <w:pStyle w:val="Body"/>
      </w:pPr>
      <w:r w:rsidRPr="00EE2307">
        <w:t>Despite these limitations, the study provides valuable evidence highlighting the clinical relevance of scapular mechanics in recreationally active populations. By demonstrating significant associations between scapular dyskinesia, neck disability, pain intensity, and shoulder-related functional performance, the findings contribute to the growing body of literature emphasizing the importance of evaluating scapular function in individuals participating in resistance and fitness training.</w:t>
      </w:r>
    </w:p>
    <w:p w14:paraId="2C5E80DF" w14:textId="77777777" w:rsidR="00D23A2C" w:rsidRPr="00EE2307" w:rsidRDefault="00D23A2C" w:rsidP="00EE2307">
      <w:pPr>
        <w:pStyle w:val="Heading1"/>
      </w:pPr>
      <w:r w:rsidRPr="00EE2307">
        <w:lastRenderedPageBreak/>
        <w:t>Conclusion</w:t>
      </w:r>
    </w:p>
    <w:p w14:paraId="4082AD2C" w14:textId="562CB591" w:rsidR="00D23A2C" w:rsidRPr="00EE2307" w:rsidRDefault="00245D0F" w:rsidP="00EE2307">
      <w:pPr>
        <w:pStyle w:val="Body"/>
      </w:pPr>
      <w:r w:rsidRPr="00EE2307">
        <w:t>This study demonstrated a significant association between clinically assessed scapular dyskinesia and increased pain intensity, neck disability, and shoulder-related functional impairment among gym-goers. A substantial proportion of participants exhibited altered scapular mechanics, and those with positive Scapular Assistance Test findings were more likely to report higher levels of musculoskeletal pain and functional disability. These findings highlight the potential importance of assessing scapular movement patterns in physically active individuals and suggest that early identification and targeted rehabilitation of scapular dysfunction may help reduce pain and improve functional performance in gym-based training populations.</w:t>
      </w:r>
    </w:p>
    <w:p w14:paraId="703A59BB" w14:textId="77777777" w:rsidR="00D23A2C" w:rsidRPr="00EE2307" w:rsidRDefault="00D23A2C" w:rsidP="00EE2307">
      <w:pPr>
        <w:pStyle w:val="Heading1"/>
      </w:pPr>
      <w:r w:rsidRPr="00EE2307">
        <w:t>References</w:t>
      </w:r>
    </w:p>
    <w:p w14:paraId="068379E2" w14:textId="57B89077" w:rsidR="00245D0F" w:rsidRPr="00EE2307" w:rsidRDefault="00245D0F" w:rsidP="00EE2307">
      <w:pPr>
        <w:pStyle w:val="Body"/>
        <w:numPr>
          <w:ilvl w:val="0"/>
          <w:numId w:val="51"/>
        </w:numPr>
      </w:pPr>
      <w:r w:rsidRPr="00EE2307">
        <w:t>Pozzi F, Plummer HA, Shanley E, Thigpen CA, Bauerlein MJ, Michener LA. Preseason shoulder range of motion screening and in-season risk of shoulder and elbow injuries in overhead athletes: systematic review and meta-analysis. Br J Sports Med. 2020;54:1019–27.</w:t>
      </w:r>
    </w:p>
    <w:p w14:paraId="7CE77651" w14:textId="0F4CA99C" w:rsidR="00245D0F" w:rsidRPr="00EE2307" w:rsidRDefault="00245D0F" w:rsidP="00EE2307">
      <w:pPr>
        <w:pStyle w:val="Body"/>
        <w:numPr>
          <w:ilvl w:val="0"/>
          <w:numId w:val="51"/>
        </w:numPr>
      </w:pPr>
      <w:r w:rsidRPr="00EE2307">
        <w:t xml:space="preserve">Saini SS, Shah SS, Curtis AS. Scapular dyskinesis and the kinetic chain: recognizing dysfunction and treating injury in the tennis athlete. Curr Rev </w:t>
      </w:r>
      <w:proofErr w:type="spellStart"/>
      <w:r w:rsidRPr="00EE2307">
        <w:t>Musculoskelet</w:t>
      </w:r>
      <w:proofErr w:type="spellEnd"/>
      <w:r w:rsidRPr="00EE2307">
        <w:t xml:space="preserve"> Med. 2020;13:748–56.</w:t>
      </w:r>
    </w:p>
    <w:p w14:paraId="56B2E980" w14:textId="0B13733B" w:rsidR="00245D0F" w:rsidRPr="00EE2307" w:rsidRDefault="00245D0F" w:rsidP="00EE2307">
      <w:pPr>
        <w:pStyle w:val="Body"/>
        <w:numPr>
          <w:ilvl w:val="0"/>
          <w:numId w:val="51"/>
        </w:numPr>
      </w:pPr>
      <w:r w:rsidRPr="00EE2307">
        <w:t xml:space="preserve">Hegazy M. Scapular dyskinesis. In: Shoulder Surgery for RC Pathology, Arthropathy and Tumors. London: </w:t>
      </w:r>
      <w:proofErr w:type="spellStart"/>
      <w:r w:rsidRPr="00EE2307">
        <w:t>IntechOpen</w:t>
      </w:r>
      <w:proofErr w:type="spellEnd"/>
      <w:r w:rsidRPr="00EE2307">
        <w:t>; 2022.</w:t>
      </w:r>
    </w:p>
    <w:p w14:paraId="28B4B8E1" w14:textId="043862B2" w:rsidR="00245D0F" w:rsidRPr="00EE2307" w:rsidRDefault="00245D0F" w:rsidP="00EE2307">
      <w:pPr>
        <w:pStyle w:val="Body"/>
        <w:numPr>
          <w:ilvl w:val="0"/>
          <w:numId w:val="51"/>
        </w:numPr>
      </w:pPr>
      <w:r w:rsidRPr="00EE2307">
        <w:t>Sa</w:t>
      </w:r>
      <w:r w:rsidRPr="00EE2307">
        <w:rPr>
          <w:rFonts w:ascii="Cambria" w:hAnsi="Cambria" w:cs="Cambria"/>
        </w:rPr>
        <w:t>ğ</w:t>
      </w:r>
      <w:r w:rsidRPr="00EE2307">
        <w:t>lam G, Telli H. The prevalence of scapular dyskinesia in patients with back, neck, and shoulder pain and the effect of this combination on pain and muscle shortness. Agri. 2022;34.</w:t>
      </w:r>
    </w:p>
    <w:p w14:paraId="3825605D" w14:textId="022F0C5A" w:rsidR="00245D0F" w:rsidRPr="00EE2307" w:rsidRDefault="00245D0F" w:rsidP="00EE2307">
      <w:pPr>
        <w:pStyle w:val="Body"/>
        <w:numPr>
          <w:ilvl w:val="0"/>
          <w:numId w:val="51"/>
        </w:numPr>
      </w:pPr>
      <w:proofErr w:type="spellStart"/>
      <w:r w:rsidRPr="00EE2307">
        <w:t>Jildeh</w:t>
      </w:r>
      <w:proofErr w:type="spellEnd"/>
      <w:r w:rsidRPr="00EE2307">
        <w:t xml:space="preserve"> TR, Ference DA, Abbas MJ, et al. Scapulothoracic dyskinesis: a concept review. Curr Rev </w:t>
      </w:r>
      <w:proofErr w:type="spellStart"/>
      <w:r w:rsidRPr="00EE2307">
        <w:t>Musculoskelet</w:t>
      </w:r>
      <w:proofErr w:type="spellEnd"/>
      <w:r w:rsidRPr="00EE2307">
        <w:t xml:space="preserve"> Med. 2021;14:246–54.</w:t>
      </w:r>
    </w:p>
    <w:p w14:paraId="0CEE9459" w14:textId="61F98952" w:rsidR="00245D0F" w:rsidRPr="00EE2307" w:rsidRDefault="00245D0F" w:rsidP="00EE2307">
      <w:pPr>
        <w:pStyle w:val="Body"/>
        <w:numPr>
          <w:ilvl w:val="0"/>
          <w:numId w:val="51"/>
        </w:numPr>
      </w:pPr>
      <w:r w:rsidRPr="00EE2307">
        <w:t xml:space="preserve">Zago M, </w:t>
      </w:r>
      <w:proofErr w:type="spellStart"/>
      <w:r w:rsidRPr="00EE2307">
        <w:t>Kawczy</w:t>
      </w:r>
      <w:r w:rsidRPr="00EE2307">
        <w:rPr>
          <w:rFonts w:ascii="Cambria" w:hAnsi="Cambria" w:cs="Cambria"/>
        </w:rPr>
        <w:t>ń</w:t>
      </w:r>
      <w:r w:rsidRPr="00EE2307">
        <w:t>ski</w:t>
      </w:r>
      <w:proofErr w:type="spellEnd"/>
      <w:r w:rsidRPr="00EE2307">
        <w:t xml:space="preserve"> A, Klich S, et al. Fatigue-induced scapular dyskinesis in healthy overhead athletes. Front </w:t>
      </w:r>
      <w:proofErr w:type="spellStart"/>
      <w:r w:rsidRPr="00EE2307">
        <w:t>Bioeng</w:t>
      </w:r>
      <w:proofErr w:type="spellEnd"/>
      <w:r w:rsidRPr="00EE2307">
        <w:t xml:space="preserve"> </w:t>
      </w:r>
      <w:proofErr w:type="spellStart"/>
      <w:r w:rsidRPr="00EE2307">
        <w:t>Biotechnol</w:t>
      </w:r>
      <w:proofErr w:type="spellEnd"/>
      <w:r w:rsidRPr="00EE2307">
        <w:t>. 2020;8:302.</w:t>
      </w:r>
    </w:p>
    <w:p w14:paraId="37BDD587" w14:textId="3D160A93" w:rsidR="00245D0F" w:rsidRPr="00EE2307" w:rsidRDefault="00245D0F" w:rsidP="00EE2307">
      <w:pPr>
        <w:pStyle w:val="Body"/>
        <w:numPr>
          <w:ilvl w:val="0"/>
          <w:numId w:val="51"/>
        </w:numPr>
      </w:pPr>
      <w:r w:rsidRPr="00EE2307">
        <w:t>Öztürk N, Ergin E, Ünver F, et al. Core strength, balance and scapular dyskinesia in upper extremity sports: a cross-sectional study. Online Turk J Health Sci. 2023;8:239–44.</w:t>
      </w:r>
    </w:p>
    <w:p w14:paraId="08B5628E" w14:textId="11A07695" w:rsidR="00245D0F" w:rsidRPr="00EE2307" w:rsidRDefault="00245D0F" w:rsidP="00EE2307">
      <w:pPr>
        <w:pStyle w:val="Body"/>
        <w:numPr>
          <w:ilvl w:val="0"/>
          <w:numId w:val="51"/>
        </w:numPr>
      </w:pPr>
      <w:r w:rsidRPr="00EE2307">
        <w:t xml:space="preserve">Öztürk F, </w:t>
      </w:r>
      <w:proofErr w:type="spellStart"/>
      <w:r w:rsidRPr="00EE2307">
        <w:t>Özçad</w:t>
      </w:r>
      <w:r w:rsidRPr="00EE2307">
        <w:rPr>
          <w:rFonts w:ascii="Cambria" w:hAnsi="Cambria" w:cs="Cambria"/>
        </w:rPr>
        <w:t>ı</w:t>
      </w:r>
      <w:r w:rsidRPr="00EE2307">
        <w:t>rc</w:t>
      </w:r>
      <w:r w:rsidRPr="00EE2307">
        <w:rPr>
          <w:rFonts w:ascii="Cambria" w:hAnsi="Cambria" w:cs="Cambria"/>
        </w:rPr>
        <w:t>ı</w:t>
      </w:r>
      <w:proofErr w:type="spellEnd"/>
      <w:r w:rsidRPr="00EE2307">
        <w:t xml:space="preserve"> A, </w:t>
      </w:r>
      <w:proofErr w:type="spellStart"/>
      <w:r w:rsidRPr="00EE2307">
        <w:t>Cinemre</w:t>
      </w:r>
      <w:proofErr w:type="spellEnd"/>
      <w:r w:rsidRPr="00EE2307">
        <w:t xml:space="preserve"> </w:t>
      </w:r>
      <w:r w:rsidRPr="00EE2307">
        <w:rPr>
          <w:rFonts w:ascii="Cambria" w:hAnsi="Cambria" w:cs="Cambria"/>
        </w:rPr>
        <w:t>Ş</w:t>
      </w:r>
      <w:r w:rsidRPr="00EE2307">
        <w:t>A, et al. Is scapular dyskinesis effective on shoulder strength profiles in asymptomatic young swimmers? J Basic Clin Health Sci. 2021;6:694</w:t>
      </w:r>
      <w:r w:rsidRPr="00EE2307">
        <w:rPr>
          <w:rFonts w:cs="Plantagenet Cherokee"/>
        </w:rPr>
        <w:t>–</w:t>
      </w:r>
      <w:r w:rsidRPr="00EE2307">
        <w:t>702.</w:t>
      </w:r>
    </w:p>
    <w:p w14:paraId="31929224" w14:textId="53F1E90D" w:rsidR="00245D0F" w:rsidRPr="00EE2307" w:rsidRDefault="00245D0F" w:rsidP="00EE2307">
      <w:pPr>
        <w:pStyle w:val="Body"/>
        <w:numPr>
          <w:ilvl w:val="0"/>
          <w:numId w:val="51"/>
        </w:numPr>
      </w:pPr>
      <w:r w:rsidRPr="00EE2307">
        <w:t>Samal GN, Deshpande M, Pawar P. Prevalence of scapular dyskinesis in novice cricket players. Int J Health Sci Res. 2022;12:27–32.</w:t>
      </w:r>
    </w:p>
    <w:p w14:paraId="5EFD3D87" w14:textId="02867709" w:rsidR="00245D0F" w:rsidRPr="00EE2307" w:rsidRDefault="00245D0F" w:rsidP="00EE2307">
      <w:pPr>
        <w:pStyle w:val="Body"/>
        <w:numPr>
          <w:ilvl w:val="0"/>
          <w:numId w:val="51"/>
        </w:numPr>
      </w:pPr>
      <w:proofErr w:type="spellStart"/>
      <w:r w:rsidRPr="00EE2307">
        <w:t>Salamh</w:t>
      </w:r>
      <w:proofErr w:type="spellEnd"/>
      <w:r w:rsidRPr="00EE2307">
        <w:t xml:space="preserve"> PA, Hanney WJ, Boles T, et al. Is it time to normalize scapular dyskinesis? The incidence of scapular dyskinesis in those with and without symptoms: a systematic review. Int J Sports Phys Ther. 2023;18:558.</w:t>
      </w:r>
    </w:p>
    <w:p w14:paraId="342E44B4" w14:textId="7B91498A" w:rsidR="00245D0F" w:rsidRPr="00EE2307" w:rsidRDefault="00245D0F" w:rsidP="00EE2307">
      <w:pPr>
        <w:pStyle w:val="Body"/>
        <w:numPr>
          <w:ilvl w:val="0"/>
          <w:numId w:val="51"/>
        </w:numPr>
      </w:pPr>
      <w:proofErr w:type="spellStart"/>
      <w:r w:rsidRPr="00EE2307">
        <w:t>Naderifar</w:t>
      </w:r>
      <w:proofErr w:type="spellEnd"/>
      <w:r w:rsidRPr="00EE2307">
        <w:t xml:space="preserve"> H, Babakhanian S, Najafi-</w:t>
      </w:r>
      <w:proofErr w:type="spellStart"/>
      <w:r w:rsidRPr="00EE2307">
        <w:t>Vosough</w:t>
      </w:r>
      <w:proofErr w:type="spellEnd"/>
      <w:r w:rsidRPr="00EE2307">
        <w:t xml:space="preserve"> R, et al. Shoulder function in swimmers with and without scapular dyskinesia. Muscles Ligaments Tendons J. 2023;13.</w:t>
      </w:r>
    </w:p>
    <w:p w14:paraId="6E0E6D01" w14:textId="0FBF38F6" w:rsidR="00245D0F" w:rsidRPr="00EE2307" w:rsidRDefault="00245D0F" w:rsidP="00EE2307">
      <w:pPr>
        <w:pStyle w:val="Body"/>
        <w:numPr>
          <w:ilvl w:val="0"/>
          <w:numId w:val="51"/>
        </w:numPr>
      </w:pPr>
      <w:r w:rsidRPr="00EE2307">
        <w:t xml:space="preserve">Bullock GS, Strahm J, Hulburt TC, et al. Relationship between clinical scapular assessment and scapula resting position, shoulder strength, and baseball pitching kinematics. </w:t>
      </w:r>
      <w:proofErr w:type="spellStart"/>
      <w:r w:rsidRPr="00EE2307">
        <w:t>Orthop</w:t>
      </w:r>
      <w:proofErr w:type="spellEnd"/>
      <w:r w:rsidRPr="00EE2307">
        <w:t xml:space="preserve"> J Sports Med. 2021;9:2325967121991146.</w:t>
      </w:r>
    </w:p>
    <w:p w14:paraId="3A78A15F" w14:textId="35F8E94B" w:rsidR="00245D0F" w:rsidRPr="00EE2307" w:rsidRDefault="00245D0F" w:rsidP="00EE2307">
      <w:pPr>
        <w:pStyle w:val="Body"/>
        <w:numPr>
          <w:ilvl w:val="0"/>
          <w:numId w:val="51"/>
        </w:numPr>
      </w:pPr>
      <w:r w:rsidRPr="00EE2307">
        <w:t xml:space="preserve">de Paula Marques J, Dionisio VC. Scapular dyskinesis and overhead athletes: a systematic review of electromyography studies. J </w:t>
      </w:r>
      <w:proofErr w:type="spellStart"/>
      <w:r w:rsidRPr="00EE2307">
        <w:t>Bodyw</w:t>
      </w:r>
      <w:proofErr w:type="spellEnd"/>
      <w:r w:rsidRPr="00EE2307">
        <w:t xml:space="preserve"> Mov Ther. 2024.</w:t>
      </w:r>
    </w:p>
    <w:p w14:paraId="40D38377" w14:textId="291AB75E" w:rsidR="00245D0F" w:rsidRPr="00EE2307" w:rsidRDefault="00245D0F" w:rsidP="00EE2307">
      <w:pPr>
        <w:pStyle w:val="Body"/>
        <w:numPr>
          <w:ilvl w:val="0"/>
          <w:numId w:val="51"/>
        </w:numPr>
      </w:pPr>
      <w:r w:rsidRPr="00EE2307">
        <w:t>Kibler WB, Stone AV, Zacharias A, et al. Management of scapular dyskinesis in overhead athletes. Oper Tech Sports Med. 2021;29:150797.</w:t>
      </w:r>
    </w:p>
    <w:p w14:paraId="0D6750CA" w14:textId="00F951D1" w:rsidR="00245D0F" w:rsidRPr="00EE2307" w:rsidRDefault="00245D0F" w:rsidP="00EE2307">
      <w:pPr>
        <w:pStyle w:val="Body"/>
        <w:numPr>
          <w:ilvl w:val="0"/>
          <w:numId w:val="51"/>
        </w:numPr>
      </w:pPr>
      <w:r w:rsidRPr="00EE2307">
        <w:lastRenderedPageBreak/>
        <w:t>Karaa</w:t>
      </w:r>
      <w:r w:rsidRPr="00EE2307">
        <w:rPr>
          <w:rFonts w:ascii="Cambria" w:hAnsi="Cambria" w:cs="Cambria"/>
        </w:rPr>
        <w:t>ğ</w:t>
      </w:r>
      <w:r w:rsidRPr="00EE2307">
        <w:t>a</w:t>
      </w:r>
      <w:r w:rsidRPr="00EE2307">
        <w:rPr>
          <w:rFonts w:cs="Plantagenet Cherokee"/>
        </w:rPr>
        <w:t>ç</w:t>
      </w:r>
      <w:r w:rsidRPr="00EE2307">
        <w:t xml:space="preserve"> A, Arslan SA, Keskin ED. Assessment of pain, scapulothoracic muscle strength, endurance and scapular dyskinesis in individuals with and without nonspecific chronic neck pain. J </w:t>
      </w:r>
      <w:proofErr w:type="spellStart"/>
      <w:r w:rsidRPr="00EE2307">
        <w:t>Bodyw</w:t>
      </w:r>
      <w:proofErr w:type="spellEnd"/>
      <w:r w:rsidRPr="00EE2307">
        <w:t xml:space="preserve"> Mov Ther. 2023;35:261</w:t>
      </w:r>
      <w:r w:rsidRPr="00EE2307">
        <w:rPr>
          <w:rFonts w:cs="Plantagenet Cherokee"/>
        </w:rPr>
        <w:t>–</w:t>
      </w:r>
      <w:r w:rsidRPr="00EE2307">
        <w:t>7.</w:t>
      </w:r>
    </w:p>
    <w:p w14:paraId="4F92FFB7" w14:textId="77C46908" w:rsidR="00245D0F" w:rsidRPr="00EE2307" w:rsidRDefault="00245D0F" w:rsidP="00EE2307">
      <w:pPr>
        <w:pStyle w:val="Body"/>
        <w:numPr>
          <w:ilvl w:val="0"/>
          <w:numId w:val="51"/>
        </w:numPr>
      </w:pPr>
      <w:r w:rsidRPr="00EE2307">
        <w:t xml:space="preserve">Oliveira FAS, </w:t>
      </w:r>
      <w:proofErr w:type="spellStart"/>
      <w:r w:rsidRPr="00EE2307">
        <w:t>Calixtre</w:t>
      </w:r>
      <w:proofErr w:type="spellEnd"/>
      <w:r w:rsidRPr="00EE2307">
        <w:t xml:space="preserve"> LB, Santos LRH, et al. Correlation of core muscle performance with shoulder pain and function altered by scapular dyskinesis. </w:t>
      </w:r>
      <w:proofErr w:type="spellStart"/>
      <w:r w:rsidRPr="00EE2307">
        <w:t>Physiother</w:t>
      </w:r>
      <w:proofErr w:type="spellEnd"/>
      <w:r w:rsidRPr="00EE2307">
        <w:t xml:space="preserve"> </w:t>
      </w:r>
      <w:proofErr w:type="spellStart"/>
      <w:r w:rsidRPr="00EE2307">
        <w:t>Pract</w:t>
      </w:r>
      <w:proofErr w:type="spellEnd"/>
      <w:r w:rsidRPr="00EE2307">
        <w:t xml:space="preserve"> Res. 2024;45:7–16.</w:t>
      </w:r>
    </w:p>
    <w:p w14:paraId="5569015F" w14:textId="44FE5B42" w:rsidR="00245D0F" w:rsidRPr="00EE2307" w:rsidRDefault="00245D0F" w:rsidP="00EE2307">
      <w:pPr>
        <w:pStyle w:val="Body"/>
        <w:numPr>
          <w:ilvl w:val="0"/>
          <w:numId w:val="51"/>
        </w:numPr>
      </w:pPr>
      <w:r w:rsidRPr="00EE2307">
        <w:t xml:space="preserve">Malik SS, Jong B, </w:t>
      </w:r>
      <w:proofErr w:type="spellStart"/>
      <w:r w:rsidRPr="00EE2307">
        <w:t>Neyton</w:t>
      </w:r>
      <w:proofErr w:type="spellEnd"/>
      <w:r w:rsidRPr="00EE2307">
        <w:t xml:space="preserve"> L, et al. Scapulothoracic dyskinesis and anterior shoulder instability. In: 360° Around Shoulder Instability. 2020.</w:t>
      </w:r>
    </w:p>
    <w:p w14:paraId="386676F3" w14:textId="6CFFC206" w:rsidR="00245D0F" w:rsidRPr="00EE2307" w:rsidRDefault="00245D0F" w:rsidP="00EE2307">
      <w:pPr>
        <w:pStyle w:val="Body"/>
        <w:numPr>
          <w:ilvl w:val="0"/>
          <w:numId w:val="51"/>
        </w:numPr>
      </w:pPr>
      <w:r w:rsidRPr="00EE2307">
        <w:t>Rehman AU, Naqvi AN, Ismail SJ, et al. Use of numeric rating scale (NRS) as visual analogue scale (VAS): Is this clinically significant? Pak Armed Forces Med J. 2023;73:1220–2.</w:t>
      </w:r>
    </w:p>
    <w:p w14:paraId="4DEE0F29" w14:textId="2AC35239" w:rsidR="00245D0F" w:rsidRPr="00EE2307" w:rsidRDefault="00245D0F" w:rsidP="00EE2307">
      <w:pPr>
        <w:pStyle w:val="Body"/>
        <w:numPr>
          <w:ilvl w:val="0"/>
          <w:numId w:val="51"/>
        </w:numPr>
      </w:pPr>
      <w:proofErr w:type="spellStart"/>
      <w:r w:rsidRPr="00EE2307">
        <w:t>Sufizadeh</w:t>
      </w:r>
      <w:proofErr w:type="spellEnd"/>
      <w:r w:rsidRPr="00EE2307">
        <w:t xml:space="preserve"> AA, </w:t>
      </w:r>
      <w:proofErr w:type="spellStart"/>
      <w:r w:rsidRPr="00EE2307">
        <w:t>Anbarian</w:t>
      </w:r>
      <w:proofErr w:type="spellEnd"/>
      <w:r w:rsidRPr="00EE2307">
        <w:t xml:space="preserve"> M. Comparison of immediate effects of Mackenzie exercise and rest on pain and disability index of neck and shoulder while typing with a smartphone. Iran J Ergon. 2023;10:240–9.</w:t>
      </w:r>
    </w:p>
    <w:p w14:paraId="40C86B4A" w14:textId="223619DE" w:rsidR="00245D0F" w:rsidRPr="00EE2307" w:rsidRDefault="00245D0F" w:rsidP="00EE2307">
      <w:pPr>
        <w:pStyle w:val="Body"/>
        <w:numPr>
          <w:ilvl w:val="0"/>
          <w:numId w:val="51"/>
        </w:numPr>
      </w:pPr>
      <w:r w:rsidRPr="00EE2307">
        <w:t>Kim DH. Outcome measurement in shoulder diseases: focus on shoulder pain and disability index (SPADI). Ann Rehabil Med. 2023;47:315–17.</w:t>
      </w:r>
    </w:p>
    <w:p w14:paraId="63C8D617" w14:textId="108B263A" w:rsidR="00245D0F" w:rsidRPr="00EE2307" w:rsidRDefault="00245D0F" w:rsidP="00EE2307">
      <w:pPr>
        <w:pStyle w:val="Body"/>
        <w:numPr>
          <w:ilvl w:val="0"/>
          <w:numId w:val="51"/>
        </w:numPr>
      </w:pPr>
      <w:r w:rsidRPr="00EE2307">
        <w:t xml:space="preserve">Venturin D, Giannotta G, </w:t>
      </w:r>
      <w:proofErr w:type="spellStart"/>
      <w:r w:rsidRPr="00EE2307">
        <w:t>Pellicciari</w:t>
      </w:r>
      <w:proofErr w:type="spellEnd"/>
      <w:r w:rsidRPr="00EE2307">
        <w:t xml:space="preserve"> L, et al. Reliability and validity of the shoulder pain and disability index in patients with frozen shoulder. BMC </w:t>
      </w:r>
      <w:proofErr w:type="spellStart"/>
      <w:r w:rsidRPr="00EE2307">
        <w:t>Musculoskelet</w:t>
      </w:r>
      <w:proofErr w:type="spellEnd"/>
      <w:r w:rsidRPr="00EE2307">
        <w:t xml:space="preserve"> </w:t>
      </w:r>
      <w:proofErr w:type="spellStart"/>
      <w:r w:rsidRPr="00EE2307">
        <w:t>Disord</w:t>
      </w:r>
      <w:proofErr w:type="spellEnd"/>
      <w:r w:rsidRPr="00EE2307">
        <w:t>. 2023;24:212.</w:t>
      </w:r>
    </w:p>
    <w:p w14:paraId="2ACA12E3" w14:textId="45464AF9" w:rsidR="00245D0F" w:rsidRPr="00EE2307" w:rsidRDefault="00245D0F" w:rsidP="00EE2307">
      <w:pPr>
        <w:pStyle w:val="Body"/>
        <w:numPr>
          <w:ilvl w:val="0"/>
          <w:numId w:val="51"/>
        </w:numPr>
      </w:pPr>
      <w:r w:rsidRPr="00EE2307">
        <w:t>Jeong JH, Kim YK. Association of scapular dyskinesis with neck and shoulder function and training period in Brazilian Jiu-Jitsu athletes. Medicina. 2023;59:1481.</w:t>
      </w:r>
    </w:p>
    <w:p w14:paraId="254362D6" w14:textId="34B70C5F" w:rsidR="00245D0F" w:rsidRPr="00EE2307" w:rsidRDefault="00245D0F" w:rsidP="00EE2307">
      <w:pPr>
        <w:pStyle w:val="Body"/>
        <w:numPr>
          <w:ilvl w:val="0"/>
          <w:numId w:val="51"/>
        </w:numPr>
      </w:pPr>
      <w:r w:rsidRPr="00EE2307">
        <w:t>Giriprasath T, Arvind M. Effects of eccentric scapular strengthening on scapular stability among regular gym-goers with scapular dyskinesis. Int J Sci Technol. 2025;16.</w:t>
      </w:r>
    </w:p>
    <w:p w14:paraId="329E69B0" w14:textId="6D627126" w:rsidR="00A92F10" w:rsidRPr="00EE2307" w:rsidRDefault="00245D0F" w:rsidP="00EE2307">
      <w:pPr>
        <w:pStyle w:val="Body"/>
        <w:numPr>
          <w:ilvl w:val="0"/>
          <w:numId w:val="51"/>
        </w:numPr>
      </w:pPr>
      <w:r w:rsidRPr="00EE2307">
        <w:t>Joshi R, Pohekar V. Correlation of resting scapular position and functional throwing performance index among amateur basketball players. MGM J Med Sci. 2022;9:325–29.</w:t>
      </w:r>
    </w:p>
    <w:sectPr w:rsidR="00A92F10" w:rsidRPr="00EE2307" w:rsidSect="00D04D32">
      <w:headerReference w:type="default" r:id="rId10"/>
      <w:headerReference w:type="first" r:id="rId11"/>
      <w:footerReference w:type="first" r:id="rId12"/>
      <w:type w:val="continuous"/>
      <w:pgSz w:w="11907" w:h="16840" w:code="9"/>
      <w:pgMar w:top="1008" w:right="1440" w:bottom="1008" w:left="1440" w:header="576" w:footer="576" w:gutter="0"/>
      <w:cols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AEC6E" w14:textId="77777777" w:rsidR="006D7F6E" w:rsidRDefault="006D7F6E" w:rsidP="005146DA">
      <w:pPr>
        <w:spacing w:after="0" w:line="240" w:lineRule="auto"/>
      </w:pPr>
      <w:r>
        <w:separator/>
      </w:r>
    </w:p>
  </w:endnote>
  <w:endnote w:type="continuationSeparator" w:id="0">
    <w:p w14:paraId="4D661576" w14:textId="77777777" w:rsidR="006D7F6E" w:rsidRDefault="006D7F6E" w:rsidP="0051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lantagenet Cherokee">
    <w:charset w:val="00"/>
    <w:family w:val="roman"/>
    <w:pitch w:val="variable"/>
    <w:sig w:usb0="00000003" w:usb1="00000000" w:usb2="00001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inion Pro SmBd">
    <w:altName w:val="Cambria"/>
    <w:panose1 w:val="00000000000000000000"/>
    <w:charset w:val="00"/>
    <w:family w:val="roman"/>
    <w:notTrueType/>
    <w:pitch w:val="variable"/>
    <w:sig w:usb0="E00002AF" w:usb1="5000E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arlow">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Khmer UI">
    <w:charset w:val="00"/>
    <w:family w:val="swiss"/>
    <w:pitch w:val="variable"/>
    <w:sig w:usb0="80000003" w:usb1="00000000" w:usb2="0001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A8D9" w14:textId="77777777" w:rsidR="00C6627F" w:rsidRPr="00662F11" w:rsidRDefault="00C6627F" w:rsidP="00C6627F">
    <w:pPr>
      <w:pBdr>
        <w:bottom w:val="single" w:sz="6" w:space="1" w:color="auto"/>
      </w:pBdr>
      <w:rPr>
        <w:rFonts w:ascii="Plantagenet Cherokee" w:hAnsi="Plantagenet Cherokee" w:cstheme="majorBidi"/>
        <w:color w:val="0B769F" w:themeColor="accent4" w:themeShade="BF"/>
        <w:sz w:val="8"/>
        <w:szCs w:val="8"/>
        <w:lang w:val="en-US"/>
      </w:rPr>
    </w:pPr>
  </w:p>
  <w:p w14:paraId="0AFC5B96" w14:textId="34287365" w:rsidR="008F6C61" w:rsidRPr="00662F11" w:rsidRDefault="008F6C61" w:rsidP="008F6C61">
    <w:pPr>
      <w:pStyle w:val="NoSpacing"/>
      <w:jc w:val="right"/>
      <w:rPr>
        <w:rFonts w:ascii="Plantagenet Cherokee" w:hAnsi="Plantagenet Cherokee"/>
        <w:color w:val="0B769F" w:themeColor="accent4" w:themeShade="BF"/>
        <w:sz w:val="12"/>
        <w:szCs w:val="12"/>
        <w:lang w:val="en-US"/>
      </w:rPr>
    </w:pPr>
    <w:r w:rsidRPr="00662F11">
      <w:rPr>
        <w:noProof/>
        <w:color w:val="0B769F" w:themeColor="accent4" w:themeShade="BF"/>
        <w:lang w:val="en-US"/>
      </w:rPr>
      <w:drawing>
        <wp:anchor distT="0" distB="0" distL="114300" distR="114300" simplePos="0" relativeHeight="251658240" behindDoc="0" locked="0" layoutInCell="1" allowOverlap="1" wp14:anchorId="08A52D60" wp14:editId="12722D8A">
          <wp:simplePos x="0" y="0"/>
          <wp:positionH relativeFrom="margin">
            <wp:align>left</wp:align>
          </wp:positionH>
          <wp:positionV relativeFrom="paragraph">
            <wp:posOffset>3175</wp:posOffset>
          </wp:positionV>
          <wp:extent cx="640143" cy="184049"/>
          <wp:effectExtent l="0" t="0" r="7620" b="6985"/>
          <wp:wrapNone/>
          <wp:docPr id="1289534719" name="Picture 1" descr="Link Medical Institut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534719" name="Picture 1" descr="Link Medical Institut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5685" cy="194268"/>
                  </a:xfrm>
                  <a:prstGeom prst="rect">
                    <a:avLst/>
                  </a:prstGeom>
                </pic:spPr>
              </pic:pic>
            </a:graphicData>
          </a:graphic>
          <wp14:sizeRelH relativeFrom="page">
            <wp14:pctWidth>0</wp14:pctWidth>
          </wp14:sizeRelH>
          <wp14:sizeRelV relativeFrom="page">
            <wp14:pctHeight>0</wp14:pctHeight>
          </wp14:sizeRelV>
        </wp:anchor>
      </w:drawing>
    </w:r>
    <w:r w:rsidR="00662F11" w:rsidRPr="00662F11">
      <w:rPr>
        <w:rFonts w:ascii="Plantagenet Cherokee" w:hAnsi="Plantagenet Cherokee"/>
        <w:color w:val="0B769F" w:themeColor="accent4" w:themeShade="BF"/>
        <w:sz w:val="12"/>
        <w:szCs w:val="12"/>
        <w:lang w:val="en-US"/>
      </w:rPr>
      <w:t>Journal of Health, Wellness and Community Research</w:t>
    </w:r>
    <w:r w:rsidR="0074006B" w:rsidRPr="00662F11">
      <w:rPr>
        <w:rFonts w:ascii="Plantagenet Cherokee" w:hAnsi="Plantagenet Cherokee"/>
        <w:color w:val="0B769F" w:themeColor="accent4" w:themeShade="BF"/>
        <w:sz w:val="12"/>
        <w:szCs w:val="12"/>
        <w:lang w:val="en-US"/>
      </w:rPr>
      <w:t xml:space="preserve"> | Volume </w:t>
    </w:r>
    <w:r w:rsidR="00662F11" w:rsidRPr="00662F11">
      <w:rPr>
        <w:rFonts w:ascii="Plantagenet Cherokee" w:hAnsi="Plantagenet Cherokee"/>
        <w:color w:val="0B769F" w:themeColor="accent4" w:themeShade="BF"/>
        <w:sz w:val="12"/>
        <w:szCs w:val="12"/>
        <w:lang w:val="en-US"/>
      </w:rPr>
      <w:t>4</w:t>
    </w:r>
    <w:r w:rsidR="0074006B" w:rsidRPr="00662F11">
      <w:rPr>
        <w:rFonts w:ascii="Plantagenet Cherokee" w:hAnsi="Plantagenet Cherokee"/>
        <w:color w:val="0B769F" w:themeColor="accent4" w:themeShade="BF"/>
        <w:sz w:val="12"/>
        <w:szCs w:val="12"/>
        <w:lang w:val="en-US"/>
      </w:rPr>
      <w:t xml:space="preserve">, Issue </w:t>
    </w:r>
    <w:r w:rsidR="003F158E">
      <w:rPr>
        <w:rFonts w:ascii="Plantagenet Cherokee" w:hAnsi="Plantagenet Cherokee"/>
        <w:color w:val="0B769F" w:themeColor="accent4" w:themeShade="BF"/>
        <w:sz w:val="12"/>
        <w:szCs w:val="12"/>
        <w:lang w:val="en-US"/>
      </w:rPr>
      <w:t>5</w:t>
    </w:r>
    <w:r w:rsidR="0074006B" w:rsidRPr="00662F11">
      <w:rPr>
        <w:rFonts w:ascii="Plantagenet Cherokee" w:hAnsi="Plantagenet Cherokee"/>
        <w:color w:val="0B769F" w:themeColor="accent4" w:themeShade="BF"/>
        <w:sz w:val="12"/>
        <w:szCs w:val="12"/>
        <w:lang w:val="en-US"/>
      </w:rPr>
      <w:t xml:space="preserve">, </w:t>
    </w:r>
    <w:r w:rsidR="003F158E">
      <w:rPr>
        <w:rFonts w:ascii="Plantagenet Cherokee" w:hAnsi="Plantagenet Cherokee"/>
        <w:color w:val="0B769F" w:themeColor="accent4" w:themeShade="BF"/>
        <w:sz w:val="12"/>
        <w:szCs w:val="12"/>
        <w:lang w:val="en-US"/>
      </w:rPr>
      <w:t>March</w:t>
    </w:r>
    <w:r w:rsidR="00662F11" w:rsidRPr="00662F11">
      <w:rPr>
        <w:rFonts w:ascii="Plantagenet Cherokee" w:hAnsi="Plantagenet Cherokee"/>
        <w:color w:val="0B769F" w:themeColor="accent4" w:themeShade="BF"/>
        <w:sz w:val="12"/>
        <w:szCs w:val="12"/>
        <w:lang w:val="en-US"/>
      </w:rPr>
      <w:t xml:space="preserve"> 2026</w:t>
    </w:r>
  </w:p>
  <w:p w14:paraId="0E52394D" w14:textId="718416CD" w:rsidR="002816A1" w:rsidRPr="00662F11" w:rsidRDefault="00662F11" w:rsidP="008F6C61">
    <w:pPr>
      <w:pStyle w:val="NoSpacing"/>
      <w:jc w:val="right"/>
      <w:rPr>
        <w:rFonts w:ascii="Plantagenet Cherokee" w:hAnsi="Plantagenet Cherokee"/>
        <w:color w:val="0B769F" w:themeColor="accent4" w:themeShade="BF"/>
        <w:sz w:val="12"/>
        <w:szCs w:val="12"/>
        <w:lang w:val="en-US"/>
      </w:rPr>
    </w:pPr>
    <w:r w:rsidRPr="00662F11">
      <w:rPr>
        <w:rFonts w:ascii="Plantagenet Cherokee" w:hAnsi="Plantagenet Cherokee"/>
        <w:color w:val="0B769F" w:themeColor="accent4" w:themeShade="BF"/>
        <w:sz w:val="12"/>
        <w:szCs w:val="12"/>
        <w:lang w:val="en-US"/>
      </w:rPr>
      <w:t>ISSN 3007-0570 | © 2026 The Authors | CC BY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7B341" w14:textId="77777777" w:rsidR="006D7F6E" w:rsidRDefault="006D7F6E" w:rsidP="005146DA">
      <w:pPr>
        <w:spacing w:after="0" w:line="240" w:lineRule="auto"/>
      </w:pPr>
      <w:r>
        <w:separator/>
      </w:r>
    </w:p>
  </w:footnote>
  <w:footnote w:type="continuationSeparator" w:id="0">
    <w:p w14:paraId="2C8AE7B6" w14:textId="77777777" w:rsidR="006D7F6E" w:rsidRDefault="006D7F6E" w:rsidP="00514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lantagenet Cherokee" w:hAnsi="Plantagenet Cherokee" w:cstheme="majorBidi"/>
        <w:color w:val="0B769F" w:themeColor="accent4" w:themeShade="BF"/>
        <w:vertAlign w:val="subscript"/>
      </w:rPr>
      <w:id w:val="1703678282"/>
      <w:docPartObj>
        <w:docPartGallery w:val="Page Numbers (Top of Page)"/>
        <w:docPartUnique/>
      </w:docPartObj>
    </w:sdtPr>
    <w:sdtEndPr>
      <w:rPr>
        <w:rStyle w:val="BodyChar"/>
        <w:sz w:val="20"/>
        <w:szCs w:val="18"/>
      </w:rPr>
    </w:sdtEndPr>
    <w:sdtContent>
      <w:p w14:paraId="5962B2CB" w14:textId="05C6AC94" w:rsidR="0031489C" w:rsidRPr="00662F11" w:rsidRDefault="00662F11" w:rsidP="0031489C">
        <w:pPr>
          <w:pStyle w:val="Header"/>
          <w:pBdr>
            <w:bottom w:val="single" w:sz="4" w:space="1" w:color="D9D9D9" w:themeColor="background1" w:themeShade="D9"/>
          </w:pBdr>
          <w:jc w:val="center"/>
          <w:rPr>
            <w:rStyle w:val="BodyChar"/>
            <w:rFonts w:cstheme="majorBidi"/>
            <w:color w:val="0B769F" w:themeColor="accent4" w:themeShade="BF"/>
            <w:sz w:val="18"/>
            <w:vertAlign w:val="subscript"/>
          </w:rPr>
        </w:pPr>
        <w:r w:rsidRPr="00662F11">
          <w:rPr>
            <w:rFonts w:ascii="Plantagenet Cherokee" w:hAnsi="Plantagenet Cherokee" w:cstheme="majorBidi"/>
            <w:color w:val="0B769F" w:themeColor="accent4" w:themeShade="BF"/>
            <w:vertAlign w:val="subscript"/>
          </w:rPr>
          <w:t>JHWCR | 2026;4(</w:t>
        </w:r>
        <w:r w:rsidR="003F158E">
          <w:rPr>
            <w:rFonts w:ascii="Plantagenet Cherokee" w:hAnsi="Plantagenet Cherokee" w:cstheme="majorBidi"/>
            <w:color w:val="0B769F" w:themeColor="accent4" w:themeShade="BF"/>
            <w:vertAlign w:val="subscript"/>
          </w:rPr>
          <w:t>5</w:t>
        </w:r>
        <w:r w:rsidRPr="00662F11">
          <w:rPr>
            <w:rFonts w:ascii="Plantagenet Cherokee" w:hAnsi="Plantagenet Cherokee" w:cstheme="majorBidi"/>
            <w:color w:val="0B769F" w:themeColor="accent4" w:themeShade="BF"/>
            <w:vertAlign w:val="subscript"/>
          </w:rPr>
          <w:t>) | ISSN 3007-0570 | © 2026 The Authors | CC BY 4.0</w:t>
        </w:r>
        <w:r w:rsidR="0031489C" w:rsidRPr="00662F11">
          <w:rPr>
            <w:rStyle w:val="BodyChar"/>
            <w:rFonts w:cstheme="majorBidi"/>
            <w:color w:val="0B769F" w:themeColor="accent4" w:themeShade="BF"/>
            <w:sz w:val="18"/>
            <w:vertAlign w:val="subscript"/>
          </w:rPr>
          <w:t xml:space="preserve"> | Page </w:t>
        </w:r>
        <w:r w:rsidR="0031489C" w:rsidRPr="00662F11">
          <w:rPr>
            <w:rStyle w:val="BodyChar"/>
            <w:rFonts w:cstheme="majorBidi"/>
            <w:color w:val="0B769F" w:themeColor="accent4" w:themeShade="BF"/>
            <w:sz w:val="18"/>
            <w:vertAlign w:val="subscript"/>
          </w:rPr>
          <w:fldChar w:fldCharType="begin"/>
        </w:r>
        <w:r w:rsidR="0031489C" w:rsidRPr="00662F11">
          <w:rPr>
            <w:rStyle w:val="BodyChar"/>
            <w:rFonts w:cstheme="majorBidi"/>
            <w:color w:val="0B769F" w:themeColor="accent4" w:themeShade="BF"/>
            <w:sz w:val="18"/>
            <w:vertAlign w:val="subscript"/>
          </w:rPr>
          <w:instrText xml:space="preserve"> PAGE   \* MERGEFORMAT </w:instrText>
        </w:r>
        <w:r w:rsidR="0031489C" w:rsidRPr="00662F11">
          <w:rPr>
            <w:rStyle w:val="BodyChar"/>
            <w:rFonts w:cstheme="majorBidi"/>
            <w:color w:val="0B769F" w:themeColor="accent4" w:themeShade="BF"/>
            <w:sz w:val="18"/>
            <w:vertAlign w:val="subscript"/>
          </w:rPr>
          <w:fldChar w:fldCharType="separate"/>
        </w:r>
        <w:r w:rsidR="0031489C" w:rsidRPr="00662F11">
          <w:rPr>
            <w:rStyle w:val="BodyChar"/>
            <w:rFonts w:cstheme="majorBidi"/>
            <w:color w:val="0B769F" w:themeColor="accent4" w:themeShade="BF"/>
            <w:vertAlign w:val="subscript"/>
          </w:rPr>
          <w:t>2</w:t>
        </w:r>
        <w:r w:rsidR="0031489C" w:rsidRPr="00662F11">
          <w:rPr>
            <w:rStyle w:val="BodyChar"/>
            <w:rFonts w:cstheme="majorBidi"/>
            <w:color w:val="0B769F" w:themeColor="accent4" w:themeShade="BF"/>
            <w:sz w:val="18"/>
            <w:vertAlign w:val="subscript"/>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DAD3" w14:textId="0773850F" w:rsidR="00861E9B" w:rsidRDefault="00662F11" w:rsidP="0074006B">
    <w:pPr>
      <w:pStyle w:val="NoSpacing"/>
      <w:tabs>
        <w:tab w:val="left" w:pos="220"/>
      </w:tabs>
      <w:rPr>
        <w:rFonts w:ascii="Plantagenet Cherokee" w:hAnsi="Plantagenet Cherokee"/>
      </w:rPr>
    </w:pPr>
    <w:r>
      <w:rPr>
        <w:rFonts w:ascii="Arial Black" w:hAnsi="Arial Black"/>
        <w:b/>
        <w:bCs/>
        <w:noProof/>
        <w:color w:val="0F9ED5" w:themeColor="accent4"/>
        <w:sz w:val="40"/>
        <w:szCs w:val="48"/>
        <w:lang w:val="en-US"/>
      </w:rPr>
      <w:drawing>
        <wp:inline distT="0" distB="0" distL="0" distR="0" wp14:anchorId="6C11F410" wp14:editId="1C604CCE">
          <wp:extent cx="2093002" cy="276185"/>
          <wp:effectExtent l="0" t="0" r="2540" b="0"/>
          <wp:docPr id="1940728984" name="Graphic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728984" name="Graphic 3">
                    <a:hlinkClick r:id="rId1"/>
                  </pic:cNvPr>
                  <pic:cNvPicPr/>
                </pic:nvPicPr>
                <pic:blipFill rotWithShape="1">
                  <a:blip r:embed="rId2">
                    <a:extLst>
                      <a:ext uri="{96DAC541-7B7A-43D3-8B79-37D633B846F1}">
                        <asvg:svgBlip xmlns:asvg="http://schemas.microsoft.com/office/drawing/2016/SVG/main" r:embed="rId3"/>
                      </a:ext>
                    </a:extLst>
                  </a:blip>
                  <a:srcRect l="5185" t="27801" r="1963" b="27801"/>
                  <a:stretch>
                    <a:fillRect/>
                  </a:stretch>
                </pic:blipFill>
                <pic:spPr bwMode="auto">
                  <a:xfrm>
                    <a:off x="0" y="0"/>
                    <a:ext cx="2146293" cy="283217"/>
                  </a:xfrm>
                  <a:prstGeom prst="rect">
                    <a:avLst/>
                  </a:prstGeom>
                  <a:ln>
                    <a:noFill/>
                  </a:ln>
                  <a:extLst>
                    <a:ext uri="{53640926-AAD7-44D8-BBD7-CCE9431645EC}">
                      <a14:shadowObscured xmlns:a14="http://schemas.microsoft.com/office/drawing/2010/main"/>
                    </a:ext>
                  </a:extLst>
                </pic:spPr>
              </pic:pic>
            </a:graphicData>
          </a:graphic>
        </wp:inline>
      </w:drawing>
    </w:r>
  </w:p>
  <w:p w14:paraId="115FA2ED" w14:textId="546C29F6" w:rsidR="00861E9B" w:rsidRPr="0074006B" w:rsidRDefault="00EE2307" w:rsidP="00EE2307">
    <w:pPr>
      <w:pStyle w:val="NoSpacing"/>
      <w:tabs>
        <w:tab w:val="left" w:pos="220"/>
      </w:tabs>
      <w:jc w:val="right"/>
      <w:rPr>
        <w:rFonts w:ascii="Plantagenet Cherokee" w:hAnsi="Plantagenet Cherokee"/>
        <w:color w:val="0B769F" w:themeColor="accent4" w:themeShade="BF"/>
        <w:sz w:val="14"/>
        <w:szCs w:val="14"/>
      </w:rPr>
    </w:pPr>
    <w:r w:rsidRPr="00EE2307">
      <w:rPr>
        <w:rFonts w:ascii="Plantagenet Cherokee" w:hAnsi="Plantagenet Cherokee"/>
        <w:color w:val="0B769F" w:themeColor="accent4" w:themeShade="BF"/>
        <w:sz w:val="14"/>
        <w:szCs w:val="14"/>
      </w:rPr>
      <w:t>https://doi.org/10.61919/ar95bv11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31F4"/>
    <w:multiLevelType w:val="hybridMultilevel"/>
    <w:tmpl w:val="2A52D6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9B5087"/>
    <w:multiLevelType w:val="multilevel"/>
    <w:tmpl w:val="1C4AC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643D2"/>
    <w:multiLevelType w:val="hybridMultilevel"/>
    <w:tmpl w:val="46C44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71D59"/>
    <w:multiLevelType w:val="multilevel"/>
    <w:tmpl w:val="24704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A4603E"/>
    <w:multiLevelType w:val="hybridMultilevel"/>
    <w:tmpl w:val="FFB2D2F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C30968"/>
    <w:multiLevelType w:val="hybridMultilevel"/>
    <w:tmpl w:val="0994E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C51230"/>
    <w:multiLevelType w:val="hybridMultilevel"/>
    <w:tmpl w:val="BB2648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191E51"/>
    <w:multiLevelType w:val="hybridMultilevel"/>
    <w:tmpl w:val="7222E2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56172E"/>
    <w:multiLevelType w:val="hybridMultilevel"/>
    <w:tmpl w:val="EEFCB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E66761"/>
    <w:multiLevelType w:val="hybridMultilevel"/>
    <w:tmpl w:val="A2983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4C0771"/>
    <w:multiLevelType w:val="hybridMultilevel"/>
    <w:tmpl w:val="736C9B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842797"/>
    <w:multiLevelType w:val="multilevel"/>
    <w:tmpl w:val="F574E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BA7BDF"/>
    <w:multiLevelType w:val="multilevel"/>
    <w:tmpl w:val="FBB4F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803BD9"/>
    <w:multiLevelType w:val="hybridMultilevel"/>
    <w:tmpl w:val="4510FB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CD3685"/>
    <w:multiLevelType w:val="multilevel"/>
    <w:tmpl w:val="A7B68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255D90"/>
    <w:multiLevelType w:val="hybridMultilevel"/>
    <w:tmpl w:val="521A1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813DC3"/>
    <w:multiLevelType w:val="hybridMultilevel"/>
    <w:tmpl w:val="2076C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5D5FE0"/>
    <w:multiLevelType w:val="multilevel"/>
    <w:tmpl w:val="A3A22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E435F4"/>
    <w:multiLevelType w:val="hybridMultilevel"/>
    <w:tmpl w:val="15780F6C"/>
    <w:lvl w:ilvl="0" w:tplc="DEC0253E">
      <w:start w:val="1"/>
      <w:numFmt w:val="decimal"/>
      <w:lvlText w:val="%1"/>
      <w:lvlJc w:val="left"/>
      <w:pPr>
        <w:ind w:left="36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840" w:hanging="180"/>
      </w:pPr>
    </w:lvl>
    <w:lvl w:ilvl="3" w:tplc="0409000F" w:tentative="1">
      <w:start w:val="1"/>
      <w:numFmt w:val="decimal"/>
      <w:lvlText w:val="%4."/>
      <w:lvlJc w:val="left"/>
      <w:pPr>
        <w:ind w:left="-120" w:hanging="360"/>
      </w:pPr>
    </w:lvl>
    <w:lvl w:ilvl="4" w:tplc="04090019" w:tentative="1">
      <w:start w:val="1"/>
      <w:numFmt w:val="lowerLetter"/>
      <w:lvlText w:val="%5."/>
      <w:lvlJc w:val="left"/>
      <w:pPr>
        <w:ind w:left="600" w:hanging="360"/>
      </w:pPr>
    </w:lvl>
    <w:lvl w:ilvl="5" w:tplc="0409001B" w:tentative="1">
      <w:start w:val="1"/>
      <w:numFmt w:val="lowerRoman"/>
      <w:lvlText w:val="%6."/>
      <w:lvlJc w:val="right"/>
      <w:pPr>
        <w:ind w:left="1320" w:hanging="180"/>
      </w:pPr>
    </w:lvl>
    <w:lvl w:ilvl="6" w:tplc="0409000F" w:tentative="1">
      <w:start w:val="1"/>
      <w:numFmt w:val="decimal"/>
      <w:lvlText w:val="%7."/>
      <w:lvlJc w:val="left"/>
      <w:pPr>
        <w:ind w:left="2040" w:hanging="360"/>
      </w:pPr>
    </w:lvl>
    <w:lvl w:ilvl="7" w:tplc="04090019" w:tentative="1">
      <w:start w:val="1"/>
      <w:numFmt w:val="lowerLetter"/>
      <w:lvlText w:val="%8."/>
      <w:lvlJc w:val="left"/>
      <w:pPr>
        <w:ind w:left="2760" w:hanging="360"/>
      </w:pPr>
    </w:lvl>
    <w:lvl w:ilvl="8" w:tplc="0409001B" w:tentative="1">
      <w:start w:val="1"/>
      <w:numFmt w:val="lowerRoman"/>
      <w:lvlText w:val="%9."/>
      <w:lvlJc w:val="right"/>
      <w:pPr>
        <w:ind w:left="3480" w:hanging="180"/>
      </w:pPr>
    </w:lvl>
  </w:abstractNum>
  <w:abstractNum w:abstractNumId="19" w15:restartNumberingAfterBreak="0">
    <w:nsid w:val="367A34DC"/>
    <w:multiLevelType w:val="hybridMultilevel"/>
    <w:tmpl w:val="27206E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6F053F5"/>
    <w:multiLevelType w:val="hybridMultilevel"/>
    <w:tmpl w:val="251CE9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850155F"/>
    <w:multiLevelType w:val="hybridMultilevel"/>
    <w:tmpl w:val="06D442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9C908AB"/>
    <w:multiLevelType w:val="hybridMultilevel"/>
    <w:tmpl w:val="668EC0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E127C32"/>
    <w:multiLevelType w:val="multilevel"/>
    <w:tmpl w:val="CEEA9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27597D"/>
    <w:multiLevelType w:val="multilevel"/>
    <w:tmpl w:val="B4FCC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0222C6"/>
    <w:multiLevelType w:val="multilevel"/>
    <w:tmpl w:val="87CE8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CB5351"/>
    <w:multiLevelType w:val="hybridMultilevel"/>
    <w:tmpl w:val="009A9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631806"/>
    <w:multiLevelType w:val="hybridMultilevel"/>
    <w:tmpl w:val="AB881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EA252F"/>
    <w:multiLevelType w:val="multilevel"/>
    <w:tmpl w:val="67443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5F5E45"/>
    <w:multiLevelType w:val="multilevel"/>
    <w:tmpl w:val="776E3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F12B00"/>
    <w:multiLevelType w:val="hybridMultilevel"/>
    <w:tmpl w:val="A3F6AD0C"/>
    <w:lvl w:ilvl="0" w:tplc="9F8C60C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47390F"/>
    <w:multiLevelType w:val="multilevel"/>
    <w:tmpl w:val="76BC9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F96F14"/>
    <w:multiLevelType w:val="hybridMultilevel"/>
    <w:tmpl w:val="385EF5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E6354C0"/>
    <w:multiLevelType w:val="hybridMultilevel"/>
    <w:tmpl w:val="44004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F1263F"/>
    <w:multiLevelType w:val="multilevel"/>
    <w:tmpl w:val="E5C69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D35D9F"/>
    <w:multiLevelType w:val="multilevel"/>
    <w:tmpl w:val="C4268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361A1B"/>
    <w:multiLevelType w:val="hybridMultilevel"/>
    <w:tmpl w:val="65364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BB228E"/>
    <w:multiLevelType w:val="hybridMultilevel"/>
    <w:tmpl w:val="D46480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96B01ED"/>
    <w:multiLevelType w:val="hybridMultilevel"/>
    <w:tmpl w:val="34C02B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9FB09C2"/>
    <w:multiLevelType w:val="hybridMultilevel"/>
    <w:tmpl w:val="26388E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A587F89"/>
    <w:multiLevelType w:val="hybridMultilevel"/>
    <w:tmpl w:val="D39A3B38"/>
    <w:lvl w:ilvl="0" w:tplc="70746E10">
      <w:start w:val="16"/>
      <w:numFmt w:val="bullet"/>
      <w:lvlText w:val=""/>
      <w:lvlJc w:val="left"/>
      <w:pPr>
        <w:ind w:left="720" w:hanging="360"/>
      </w:pPr>
      <w:rPr>
        <w:rFonts w:ascii="Plantagenet Cherokee" w:eastAsiaTheme="minorHAnsi" w:hAnsi="Plantagenet Cheroke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A473D0"/>
    <w:multiLevelType w:val="hybridMultilevel"/>
    <w:tmpl w:val="32A2D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C255EF"/>
    <w:multiLevelType w:val="multilevel"/>
    <w:tmpl w:val="E6944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6D5A7F"/>
    <w:multiLevelType w:val="multilevel"/>
    <w:tmpl w:val="F3A81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A30711"/>
    <w:multiLevelType w:val="multilevel"/>
    <w:tmpl w:val="6D5A7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175FCC"/>
    <w:multiLevelType w:val="hybridMultilevel"/>
    <w:tmpl w:val="C93EFE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87F7E9B"/>
    <w:multiLevelType w:val="hybridMultilevel"/>
    <w:tmpl w:val="D7B2490A"/>
    <w:lvl w:ilvl="0" w:tplc="990E1FC0">
      <w:start w:val="1"/>
      <w:numFmt w:val="decimal"/>
      <w:pStyle w:val="References"/>
      <w:lvlText w:val="%1"/>
      <w:lvlJc w:val="left"/>
      <w:pPr>
        <w:ind w:left="360" w:hanging="360"/>
      </w:pPr>
      <w:rPr>
        <w:rFonts w:ascii="Aptos" w:hAnsi="Aptos" w:cs="Georgia" w:hint="default"/>
        <w:b w:val="0"/>
        <w:bCs w:val="0"/>
        <w:i w:val="0"/>
        <w:iCs w:val="0"/>
        <w:caps w:val="0"/>
        <w:strike w:val="0"/>
        <w:dstrike w:val="0"/>
        <w:vanish w:val="0"/>
        <w:color w:val="000000" w:themeColor="text1"/>
        <w:kern w:val="0"/>
        <w:sz w:val="20"/>
        <w:szCs w:val="20"/>
        <w:vertAlign w:val="baseline"/>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9463AC3"/>
    <w:multiLevelType w:val="hybridMultilevel"/>
    <w:tmpl w:val="3AECF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9644E90"/>
    <w:multiLevelType w:val="multilevel"/>
    <w:tmpl w:val="82B4D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9DE12E4"/>
    <w:multiLevelType w:val="hybridMultilevel"/>
    <w:tmpl w:val="9DB6CF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AAC6842"/>
    <w:multiLevelType w:val="hybridMultilevel"/>
    <w:tmpl w:val="E8B2AC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FE379D9"/>
    <w:multiLevelType w:val="hybridMultilevel"/>
    <w:tmpl w:val="B9907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8184083">
    <w:abstractNumId w:val="46"/>
  </w:num>
  <w:num w:numId="2" w16cid:durableId="225528120">
    <w:abstractNumId w:val="18"/>
  </w:num>
  <w:num w:numId="3" w16cid:durableId="2037726663">
    <w:abstractNumId w:val="26"/>
  </w:num>
  <w:num w:numId="4" w16cid:durableId="1909916655">
    <w:abstractNumId w:val="44"/>
  </w:num>
  <w:num w:numId="5" w16cid:durableId="1294016373">
    <w:abstractNumId w:val="45"/>
  </w:num>
  <w:num w:numId="6" w16cid:durableId="2036035723">
    <w:abstractNumId w:val="11"/>
  </w:num>
  <w:num w:numId="7" w16cid:durableId="874662362">
    <w:abstractNumId w:val="50"/>
  </w:num>
  <w:num w:numId="8" w16cid:durableId="1239706977">
    <w:abstractNumId w:val="42"/>
  </w:num>
  <w:num w:numId="9" w16cid:durableId="814836894">
    <w:abstractNumId w:val="16"/>
  </w:num>
  <w:num w:numId="10" w16cid:durableId="671100959">
    <w:abstractNumId w:val="33"/>
  </w:num>
  <w:num w:numId="11" w16cid:durableId="2001083729">
    <w:abstractNumId w:val="1"/>
  </w:num>
  <w:num w:numId="12" w16cid:durableId="1480614988">
    <w:abstractNumId w:val="49"/>
  </w:num>
  <w:num w:numId="13" w16cid:durableId="775440679">
    <w:abstractNumId w:val="13"/>
  </w:num>
  <w:num w:numId="14" w16cid:durableId="306667643">
    <w:abstractNumId w:val="29"/>
  </w:num>
  <w:num w:numId="15" w16cid:durableId="1399212486">
    <w:abstractNumId w:val="48"/>
  </w:num>
  <w:num w:numId="16" w16cid:durableId="868030207">
    <w:abstractNumId w:val="32"/>
  </w:num>
  <w:num w:numId="17" w16cid:durableId="560989784">
    <w:abstractNumId w:val="24"/>
  </w:num>
  <w:num w:numId="18" w16cid:durableId="2136437069">
    <w:abstractNumId w:val="30"/>
  </w:num>
  <w:num w:numId="19" w16cid:durableId="1685591865">
    <w:abstractNumId w:val="12"/>
  </w:num>
  <w:num w:numId="20" w16cid:durableId="323315373">
    <w:abstractNumId w:val="19"/>
  </w:num>
  <w:num w:numId="21" w16cid:durableId="352536622">
    <w:abstractNumId w:val="3"/>
  </w:num>
  <w:num w:numId="22" w16cid:durableId="1253205039">
    <w:abstractNumId w:val="6"/>
  </w:num>
  <w:num w:numId="23" w16cid:durableId="2042969636">
    <w:abstractNumId w:val="35"/>
  </w:num>
  <w:num w:numId="24" w16cid:durableId="1597791896">
    <w:abstractNumId w:val="20"/>
  </w:num>
  <w:num w:numId="25" w16cid:durableId="1572425988">
    <w:abstractNumId w:val="31"/>
  </w:num>
  <w:num w:numId="26" w16cid:durableId="18896891">
    <w:abstractNumId w:val="0"/>
  </w:num>
  <w:num w:numId="27" w16cid:durableId="397099561">
    <w:abstractNumId w:val="25"/>
  </w:num>
  <w:num w:numId="28" w16cid:durableId="68508054">
    <w:abstractNumId w:val="15"/>
  </w:num>
  <w:num w:numId="29" w16cid:durableId="1117331241">
    <w:abstractNumId w:val="43"/>
  </w:num>
  <w:num w:numId="30" w16cid:durableId="210270920">
    <w:abstractNumId w:val="8"/>
  </w:num>
  <w:num w:numId="31" w16cid:durableId="775565135">
    <w:abstractNumId w:val="10"/>
  </w:num>
  <w:num w:numId="32" w16cid:durableId="1759476450">
    <w:abstractNumId w:val="28"/>
  </w:num>
  <w:num w:numId="33" w16cid:durableId="528031861">
    <w:abstractNumId w:val="38"/>
  </w:num>
  <w:num w:numId="34" w16cid:durableId="500702368">
    <w:abstractNumId w:val="34"/>
  </w:num>
  <w:num w:numId="35" w16cid:durableId="1836650766">
    <w:abstractNumId w:val="37"/>
  </w:num>
  <w:num w:numId="36" w16cid:durableId="151722122">
    <w:abstractNumId w:val="23"/>
  </w:num>
  <w:num w:numId="37" w16cid:durableId="1771272414">
    <w:abstractNumId w:val="9"/>
  </w:num>
  <w:num w:numId="38" w16cid:durableId="1013410746">
    <w:abstractNumId w:val="7"/>
  </w:num>
  <w:num w:numId="39" w16cid:durableId="1479959224">
    <w:abstractNumId w:val="17"/>
  </w:num>
  <w:num w:numId="40" w16cid:durableId="1170801524">
    <w:abstractNumId w:val="21"/>
  </w:num>
  <w:num w:numId="41" w16cid:durableId="159975106">
    <w:abstractNumId w:val="36"/>
  </w:num>
  <w:num w:numId="42" w16cid:durableId="23097922">
    <w:abstractNumId w:val="41"/>
  </w:num>
  <w:num w:numId="43" w16cid:durableId="2020307846">
    <w:abstractNumId w:val="14"/>
  </w:num>
  <w:num w:numId="44" w16cid:durableId="1466580010">
    <w:abstractNumId w:val="39"/>
  </w:num>
  <w:num w:numId="45" w16cid:durableId="1643458465">
    <w:abstractNumId w:val="51"/>
  </w:num>
  <w:num w:numId="46" w16cid:durableId="948586317">
    <w:abstractNumId w:val="5"/>
  </w:num>
  <w:num w:numId="47" w16cid:durableId="1638759867">
    <w:abstractNumId w:val="27"/>
  </w:num>
  <w:num w:numId="48" w16cid:durableId="29572903">
    <w:abstractNumId w:val="4"/>
  </w:num>
  <w:num w:numId="49" w16cid:durableId="1535731779">
    <w:abstractNumId w:val="2"/>
  </w:num>
  <w:num w:numId="50" w16cid:durableId="233703680">
    <w:abstractNumId w:val="47"/>
  </w:num>
  <w:num w:numId="51" w16cid:durableId="951982746">
    <w:abstractNumId w:val="22"/>
  </w:num>
  <w:num w:numId="52" w16cid:durableId="1811944980">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144"/>
  <w:drawingGridHorizontalSpacing w:val="144"/>
  <w:drawingGridVerticalSpacing w:val="144"/>
  <w:characterSpacingControl w:val="doNotCompress"/>
  <w:hdrShapeDefaults>
    <o:shapedefaults v:ext="edit" spidmax="2050">
      <o:colormru v:ext="edit" colors="#eee,#f5f5f5,#f9f9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0BE"/>
    <w:rsid w:val="00000CCB"/>
    <w:rsid w:val="000043F0"/>
    <w:rsid w:val="00004CC0"/>
    <w:rsid w:val="00005664"/>
    <w:rsid w:val="000061B5"/>
    <w:rsid w:val="0000693F"/>
    <w:rsid w:val="000078EA"/>
    <w:rsid w:val="000100BB"/>
    <w:rsid w:val="00012950"/>
    <w:rsid w:val="00012F54"/>
    <w:rsid w:val="000139DB"/>
    <w:rsid w:val="000148AB"/>
    <w:rsid w:val="00015BB5"/>
    <w:rsid w:val="0001648C"/>
    <w:rsid w:val="000166C1"/>
    <w:rsid w:val="00017948"/>
    <w:rsid w:val="00022307"/>
    <w:rsid w:val="000227F6"/>
    <w:rsid w:val="000247CA"/>
    <w:rsid w:val="00026CEF"/>
    <w:rsid w:val="0002734B"/>
    <w:rsid w:val="000321D9"/>
    <w:rsid w:val="0003240D"/>
    <w:rsid w:val="0003560D"/>
    <w:rsid w:val="0003581C"/>
    <w:rsid w:val="00036B89"/>
    <w:rsid w:val="00037203"/>
    <w:rsid w:val="00041643"/>
    <w:rsid w:val="00041BBF"/>
    <w:rsid w:val="00041F12"/>
    <w:rsid w:val="00041F21"/>
    <w:rsid w:val="0004408C"/>
    <w:rsid w:val="00044BB6"/>
    <w:rsid w:val="00044C73"/>
    <w:rsid w:val="000461A7"/>
    <w:rsid w:val="00046C28"/>
    <w:rsid w:val="00046C7C"/>
    <w:rsid w:val="0004774C"/>
    <w:rsid w:val="00051F5C"/>
    <w:rsid w:val="000529A5"/>
    <w:rsid w:val="000536B0"/>
    <w:rsid w:val="00053EFB"/>
    <w:rsid w:val="00055152"/>
    <w:rsid w:val="00057EC7"/>
    <w:rsid w:val="00061461"/>
    <w:rsid w:val="0006178B"/>
    <w:rsid w:val="00063B00"/>
    <w:rsid w:val="0006433A"/>
    <w:rsid w:val="000645AC"/>
    <w:rsid w:val="0006672E"/>
    <w:rsid w:val="00066DE0"/>
    <w:rsid w:val="00075179"/>
    <w:rsid w:val="00076FAB"/>
    <w:rsid w:val="00077792"/>
    <w:rsid w:val="000820A1"/>
    <w:rsid w:val="00083257"/>
    <w:rsid w:val="000843BC"/>
    <w:rsid w:val="000847CE"/>
    <w:rsid w:val="00085E1C"/>
    <w:rsid w:val="00091AFC"/>
    <w:rsid w:val="00091F6A"/>
    <w:rsid w:val="000920D3"/>
    <w:rsid w:val="00092733"/>
    <w:rsid w:val="00092816"/>
    <w:rsid w:val="00092B1C"/>
    <w:rsid w:val="0009358D"/>
    <w:rsid w:val="00093E42"/>
    <w:rsid w:val="00094074"/>
    <w:rsid w:val="0009526A"/>
    <w:rsid w:val="00095B50"/>
    <w:rsid w:val="00096AB8"/>
    <w:rsid w:val="00097307"/>
    <w:rsid w:val="000A031C"/>
    <w:rsid w:val="000A1372"/>
    <w:rsid w:val="000A1CE1"/>
    <w:rsid w:val="000A201E"/>
    <w:rsid w:val="000A65A1"/>
    <w:rsid w:val="000B07E9"/>
    <w:rsid w:val="000B1B2C"/>
    <w:rsid w:val="000B408C"/>
    <w:rsid w:val="000B411A"/>
    <w:rsid w:val="000B7D86"/>
    <w:rsid w:val="000C202C"/>
    <w:rsid w:val="000C576E"/>
    <w:rsid w:val="000C5CF2"/>
    <w:rsid w:val="000C60BF"/>
    <w:rsid w:val="000C64C1"/>
    <w:rsid w:val="000C7E54"/>
    <w:rsid w:val="000D00DD"/>
    <w:rsid w:val="000D09FA"/>
    <w:rsid w:val="000D0FE6"/>
    <w:rsid w:val="000D2D96"/>
    <w:rsid w:val="000D32CA"/>
    <w:rsid w:val="000D3327"/>
    <w:rsid w:val="000D3952"/>
    <w:rsid w:val="000D3C08"/>
    <w:rsid w:val="000D3D22"/>
    <w:rsid w:val="000D3D71"/>
    <w:rsid w:val="000D61EE"/>
    <w:rsid w:val="000D62A3"/>
    <w:rsid w:val="000D63DB"/>
    <w:rsid w:val="000D7465"/>
    <w:rsid w:val="000E0E33"/>
    <w:rsid w:val="000E2EEF"/>
    <w:rsid w:val="000E656D"/>
    <w:rsid w:val="000F29F9"/>
    <w:rsid w:val="000F48C0"/>
    <w:rsid w:val="000F66A6"/>
    <w:rsid w:val="000F7F02"/>
    <w:rsid w:val="0010117A"/>
    <w:rsid w:val="00101454"/>
    <w:rsid w:val="00102CFA"/>
    <w:rsid w:val="00103294"/>
    <w:rsid w:val="00106239"/>
    <w:rsid w:val="001068B7"/>
    <w:rsid w:val="00107BA8"/>
    <w:rsid w:val="00110658"/>
    <w:rsid w:val="00110E72"/>
    <w:rsid w:val="001119D7"/>
    <w:rsid w:val="00112E6F"/>
    <w:rsid w:val="001131F8"/>
    <w:rsid w:val="00113B11"/>
    <w:rsid w:val="00113E50"/>
    <w:rsid w:val="0011409D"/>
    <w:rsid w:val="00114A92"/>
    <w:rsid w:val="00115593"/>
    <w:rsid w:val="00115B7A"/>
    <w:rsid w:val="00115EDF"/>
    <w:rsid w:val="00116404"/>
    <w:rsid w:val="00120480"/>
    <w:rsid w:val="00122FCB"/>
    <w:rsid w:val="001236CA"/>
    <w:rsid w:val="00130F18"/>
    <w:rsid w:val="001315E7"/>
    <w:rsid w:val="001322A0"/>
    <w:rsid w:val="0013322A"/>
    <w:rsid w:val="00135169"/>
    <w:rsid w:val="001374B4"/>
    <w:rsid w:val="00140298"/>
    <w:rsid w:val="001408A6"/>
    <w:rsid w:val="00140F5E"/>
    <w:rsid w:val="00142502"/>
    <w:rsid w:val="00142BE6"/>
    <w:rsid w:val="00144175"/>
    <w:rsid w:val="001475C8"/>
    <w:rsid w:val="001503AD"/>
    <w:rsid w:val="00152188"/>
    <w:rsid w:val="00152475"/>
    <w:rsid w:val="001530DB"/>
    <w:rsid w:val="00153B19"/>
    <w:rsid w:val="00155518"/>
    <w:rsid w:val="00155642"/>
    <w:rsid w:val="001561FA"/>
    <w:rsid w:val="00160234"/>
    <w:rsid w:val="0016033E"/>
    <w:rsid w:val="00160937"/>
    <w:rsid w:val="00161CCE"/>
    <w:rsid w:val="00165671"/>
    <w:rsid w:val="001677CE"/>
    <w:rsid w:val="0017042B"/>
    <w:rsid w:val="00171987"/>
    <w:rsid w:val="001759FB"/>
    <w:rsid w:val="00175A60"/>
    <w:rsid w:val="0017794D"/>
    <w:rsid w:val="001801C6"/>
    <w:rsid w:val="00180EF1"/>
    <w:rsid w:val="001835E8"/>
    <w:rsid w:val="00183633"/>
    <w:rsid w:val="00183C59"/>
    <w:rsid w:val="001842C8"/>
    <w:rsid w:val="001854B4"/>
    <w:rsid w:val="00190B1E"/>
    <w:rsid w:val="00191AB1"/>
    <w:rsid w:val="00192B07"/>
    <w:rsid w:val="001934BD"/>
    <w:rsid w:val="00195166"/>
    <w:rsid w:val="001958E7"/>
    <w:rsid w:val="00197895"/>
    <w:rsid w:val="001A1BC5"/>
    <w:rsid w:val="001A2B9E"/>
    <w:rsid w:val="001A35E8"/>
    <w:rsid w:val="001A4451"/>
    <w:rsid w:val="001A48AE"/>
    <w:rsid w:val="001A5A24"/>
    <w:rsid w:val="001A5C6F"/>
    <w:rsid w:val="001A662D"/>
    <w:rsid w:val="001A713C"/>
    <w:rsid w:val="001B1308"/>
    <w:rsid w:val="001B47E3"/>
    <w:rsid w:val="001B536B"/>
    <w:rsid w:val="001C0ABC"/>
    <w:rsid w:val="001C1962"/>
    <w:rsid w:val="001C2797"/>
    <w:rsid w:val="001C2CD4"/>
    <w:rsid w:val="001C2E01"/>
    <w:rsid w:val="001C4806"/>
    <w:rsid w:val="001C5878"/>
    <w:rsid w:val="001C6B5A"/>
    <w:rsid w:val="001C749C"/>
    <w:rsid w:val="001C7626"/>
    <w:rsid w:val="001C7FCC"/>
    <w:rsid w:val="001D08CB"/>
    <w:rsid w:val="001D0CAC"/>
    <w:rsid w:val="001D12F0"/>
    <w:rsid w:val="001D175C"/>
    <w:rsid w:val="001D1E7D"/>
    <w:rsid w:val="001D2E75"/>
    <w:rsid w:val="001D406B"/>
    <w:rsid w:val="001D4DA3"/>
    <w:rsid w:val="001D5C62"/>
    <w:rsid w:val="001D7E59"/>
    <w:rsid w:val="001E1318"/>
    <w:rsid w:val="001E794B"/>
    <w:rsid w:val="001F044C"/>
    <w:rsid w:val="001F1BDB"/>
    <w:rsid w:val="001F1EC5"/>
    <w:rsid w:val="001F23EE"/>
    <w:rsid w:val="001F4423"/>
    <w:rsid w:val="001F59D2"/>
    <w:rsid w:val="001F5F30"/>
    <w:rsid w:val="001F7403"/>
    <w:rsid w:val="00201146"/>
    <w:rsid w:val="00202799"/>
    <w:rsid w:val="002033FB"/>
    <w:rsid w:val="002038D4"/>
    <w:rsid w:val="0020529B"/>
    <w:rsid w:val="00206FD7"/>
    <w:rsid w:val="00211CB2"/>
    <w:rsid w:val="00212B7E"/>
    <w:rsid w:val="00212FAD"/>
    <w:rsid w:val="00213A2A"/>
    <w:rsid w:val="0022313E"/>
    <w:rsid w:val="0022392C"/>
    <w:rsid w:val="002249DB"/>
    <w:rsid w:val="00227BED"/>
    <w:rsid w:val="002313BC"/>
    <w:rsid w:val="00231F85"/>
    <w:rsid w:val="0023234A"/>
    <w:rsid w:val="00233DEB"/>
    <w:rsid w:val="00234923"/>
    <w:rsid w:val="00236369"/>
    <w:rsid w:val="00237C3E"/>
    <w:rsid w:val="00240ACD"/>
    <w:rsid w:val="002411BB"/>
    <w:rsid w:val="002411EA"/>
    <w:rsid w:val="00242689"/>
    <w:rsid w:val="00244591"/>
    <w:rsid w:val="00245D0F"/>
    <w:rsid w:val="00246D74"/>
    <w:rsid w:val="00247F76"/>
    <w:rsid w:val="00250B28"/>
    <w:rsid w:val="00251A85"/>
    <w:rsid w:val="0025388D"/>
    <w:rsid w:val="00256D38"/>
    <w:rsid w:val="00261E5E"/>
    <w:rsid w:val="002645A1"/>
    <w:rsid w:val="00265A16"/>
    <w:rsid w:val="00266C23"/>
    <w:rsid w:val="00266EA3"/>
    <w:rsid w:val="00267569"/>
    <w:rsid w:val="00270061"/>
    <w:rsid w:val="00275274"/>
    <w:rsid w:val="00277397"/>
    <w:rsid w:val="00277756"/>
    <w:rsid w:val="002802F9"/>
    <w:rsid w:val="002816A1"/>
    <w:rsid w:val="00281D2E"/>
    <w:rsid w:val="002831F8"/>
    <w:rsid w:val="00284518"/>
    <w:rsid w:val="00285461"/>
    <w:rsid w:val="0029007D"/>
    <w:rsid w:val="00291322"/>
    <w:rsid w:val="00291B86"/>
    <w:rsid w:val="00292106"/>
    <w:rsid w:val="00293152"/>
    <w:rsid w:val="00293D9C"/>
    <w:rsid w:val="002A1FE3"/>
    <w:rsid w:val="002A386B"/>
    <w:rsid w:val="002A3B8E"/>
    <w:rsid w:val="002B118E"/>
    <w:rsid w:val="002B12F8"/>
    <w:rsid w:val="002B17C5"/>
    <w:rsid w:val="002B21E4"/>
    <w:rsid w:val="002B32B9"/>
    <w:rsid w:val="002B444C"/>
    <w:rsid w:val="002B464D"/>
    <w:rsid w:val="002B4D0B"/>
    <w:rsid w:val="002C187C"/>
    <w:rsid w:val="002C35DA"/>
    <w:rsid w:val="002C3902"/>
    <w:rsid w:val="002C3C36"/>
    <w:rsid w:val="002C72A5"/>
    <w:rsid w:val="002D1821"/>
    <w:rsid w:val="002D1E63"/>
    <w:rsid w:val="002D205F"/>
    <w:rsid w:val="002D2DF2"/>
    <w:rsid w:val="002D5782"/>
    <w:rsid w:val="002D5DB5"/>
    <w:rsid w:val="002D6FC1"/>
    <w:rsid w:val="002E151A"/>
    <w:rsid w:val="002E1DC4"/>
    <w:rsid w:val="002E1FF7"/>
    <w:rsid w:val="002E3349"/>
    <w:rsid w:val="002E3C00"/>
    <w:rsid w:val="002E74FE"/>
    <w:rsid w:val="002E7ED9"/>
    <w:rsid w:val="002F1CD9"/>
    <w:rsid w:val="002F2F9B"/>
    <w:rsid w:val="002F46AB"/>
    <w:rsid w:val="00301F8E"/>
    <w:rsid w:val="00304212"/>
    <w:rsid w:val="00304A06"/>
    <w:rsid w:val="00304AC7"/>
    <w:rsid w:val="003068E1"/>
    <w:rsid w:val="00307FDF"/>
    <w:rsid w:val="0031067C"/>
    <w:rsid w:val="0031489C"/>
    <w:rsid w:val="00314FBF"/>
    <w:rsid w:val="00317469"/>
    <w:rsid w:val="003176A3"/>
    <w:rsid w:val="00317C19"/>
    <w:rsid w:val="0032044C"/>
    <w:rsid w:val="00320DBD"/>
    <w:rsid w:val="00322584"/>
    <w:rsid w:val="00322829"/>
    <w:rsid w:val="00322915"/>
    <w:rsid w:val="0032553C"/>
    <w:rsid w:val="00325BC4"/>
    <w:rsid w:val="0032610F"/>
    <w:rsid w:val="00327C8C"/>
    <w:rsid w:val="00330E69"/>
    <w:rsid w:val="003323F7"/>
    <w:rsid w:val="0033354D"/>
    <w:rsid w:val="00334B4D"/>
    <w:rsid w:val="00335DDB"/>
    <w:rsid w:val="0033686D"/>
    <w:rsid w:val="00341065"/>
    <w:rsid w:val="003414CF"/>
    <w:rsid w:val="00344766"/>
    <w:rsid w:val="0034599F"/>
    <w:rsid w:val="00354733"/>
    <w:rsid w:val="003558D8"/>
    <w:rsid w:val="00355D58"/>
    <w:rsid w:val="003562FE"/>
    <w:rsid w:val="00356445"/>
    <w:rsid w:val="0036033B"/>
    <w:rsid w:val="00362A01"/>
    <w:rsid w:val="00365502"/>
    <w:rsid w:val="003675B2"/>
    <w:rsid w:val="003719D0"/>
    <w:rsid w:val="00371F8D"/>
    <w:rsid w:val="00372011"/>
    <w:rsid w:val="0037286E"/>
    <w:rsid w:val="00373914"/>
    <w:rsid w:val="00374162"/>
    <w:rsid w:val="00377CCB"/>
    <w:rsid w:val="00380571"/>
    <w:rsid w:val="00382954"/>
    <w:rsid w:val="00382A00"/>
    <w:rsid w:val="00382BD4"/>
    <w:rsid w:val="00382FDD"/>
    <w:rsid w:val="00384503"/>
    <w:rsid w:val="00386C27"/>
    <w:rsid w:val="003879AF"/>
    <w:rsid w:val="00390462"/>
    <w:rsid w:val="00391441"/>
    <w:rsid w:val="00393576"/>
    <w:rsid w:val="00393E8E"/>
    <w:rsid w:val="00396AD3"/>
    <w:rsid w:val="00397890"/>
    <w:rsid w:val="00397EAC"/>
    <w:rsid w:val="003A1C9F"/>
    <w:rsid w:val="003A21E3"/>
    <w:rsid w:val="003A33C8"/>
    <w:rsid w:val="003A42FC"/>
    <w:rsid w:val="003A48A8"/>
    <w:rsid w:val="003A49E8"/>
    <w:rsid w:val="003A5112"/>
    <w:rsid w:val="003A6F94"/>
    <w:rsid w:val="003A70C5"/>
    <w:rsid w:val="003B072B"/>
    <w:rsid w:val="003B07FC"/>
    <w:rsid w:val="003B1191"/>
    <w:rsid w:val="003B2272"/>
    <w:rsid w:val="003B3BE0"/>
    <w:rsid w:val="003B4944"/>
    <w:rsid w:val="003C408A"/>
    <w:rsid w:val="003C5346"/>
    <w:rsid w:val="003C5B39"/>
    <w:rsid w:val="003C5DCF"/>
    <w:rsid w:val="003C612A"/>
    <w:rsid w:val="003C6A2E"/>
    <w:rsid w:val="003C74AB"/>
    <w:rsid w:val="003D01E3"/>
    <w:rsid w:val="003D0CD2"/>
    <w:rsid w:val="003D1429"/>
    <w:rsid w:val="003D16D1"/>
    <w:rsid w:val="003D2729"/>
    <w:rsid w:val="003D287D"/>
    <w:rsid w:val="003D5E8B"/>
    <w:rsid w:val="003E0447"/>
    <w:rsid w:val="003E2201"/>
    <w:rsid w:val="003E2CD6"/>
    <w:rsid w:val="003E38FB"/>
    <w:rsid w:val="003E3958"/>
    <w:rsid w:val="003E52F6"/>
    <w:rsid w:val="003E703B"/>
    <w:rsid w:val="003E73E1"/>
    <w:rsid w:val="003E7B34"/>
    <w:rsid w:val="003F003B"/>
    <w:rsid w:val="003F04CB"/>
    <w:rsid w:val="003F074D"/>
    <w:rsid w:val="003F158E"/>
    <w:rsid w:val="003F48CC"/>
    <w:rsid w:val="003F65CC"/>
    <w:rsid w:val="004002AE"/>
    <w:rsid w:val="00401159"/>
    <w:rsid w:val="00401A9B"/>
    <w:rsid w:val="0040253B"/>
    <w:rsid w:val="00402936"/>
    <w:rsid w:val="004034EE"/>
    <w:rsid w:val="00404164"/>
    <w:rsid w:val="00404D42"/>
    <w:rsid w:val="00405E0E"/>
    <w:rsid w:val="00406EC5"/>
    <w:rsid w:val="004071B8"/>
    <w:rsid w:val="00407D81"/>
    <w:rsid w:val="00410CF0"/>
    <w:rsid w:val="004114B7"/>
    <w:rsid w:val="00414031"/>
    <w:rsid w:val="004142E9"/>
    <w:rsid w:val="004143EA"/>
    <w:rsid w:val="00415859"/>
    <w:rsid w:val="00416B96"/>
    <w:rsid w:val="00421657"/>
    <w:rsid w:val="0042170E"/>
    <w:rsid w:val="004301DA"/>
    <w:rsid w:val="00430DA3"/>
    <w:rsid w:val="00431879"/>
    <w:rsid w:val="00431DBE"/>
    <w:rsid w:val="00432173"/>
    <w:rsid w:val="00435EEF"/>
    <w:rsid w:val="0044140E"/>
    <w:rsid w:val="00441E67"/>
    <w:rsid w:val="0044217C"/>
    <w:rsid w:val="004448C8"/>
    <w:rsid w:val="004449F4"/>
    <w:rsid w:val="00444C14"/>
    <w:rsid w:val="004461B8"/>
    <w:rsid w:val="004508C2"/>
    <w:rsid w:val="00450EE7"/>
    <w:rsid w:val="00452AE6"/>
    <w:rsid w:val="00453603"/>
    <w:rsid w:val="00453CF1"/>
    <w:rsid w:val="004566F3"/>
    <w:rsid w:val="00456D11"/>
    <w:rsid w:val="00461271"/>
    <w:rsid w:val="00462CF6"/>
    <w:rsid w:val="00463000"/>
    <w:rsid w:val="0046408A"/>
    <w:rsid w:val="00465FA3"/>
    <w:rsid w:val="00470DE6"/>
    <w:rsid w:val="00471014"/>
    <w:rsid w:val="00475CCE"/>
    <w:rsid w:val="00475E64"/>
    <w:rsid w:val="004774AF"/>
    <w:rsid w:val="0048025B"/>
    <w:rsid w:val="00482000"/>
    <w:rsid w:val="004823B4"/>
    <w:rsid w:val="00482507"/>
    <w:rsid w:val="004829FF"/>
    <w:rsid w:val="00485879"/>
    <w:rsid w:val="00487062"/>
    <w:rsid w:val="004874D6"/>
    <w:rsid w:val="004878D6"/>
    <w:rsid w:val="00487FA1"/>
    <w:rsid w:val="004926D8"/>
    <w:rsid w:val="00494FED"/>
    <w:rsid w:val="0049556B"/>
    <w:rsid w:val="00496C23"/>
    <w:rsid w:val="004A0FB7"/>
    <w:rsid w:val="004A16F2"/>
    <w:rsid w:val="004A2795"/>
    <w:rsid w:val="004A4106"/>
    <w:rsid w:val="004A52FC"/>
    <w:rsid w:val="004B0026"/>
    <w:rsid w:val="004B4252"/>
    <w:rsid w:val="004B42D0"/>
    <w:rsid w:val="004B4C8E"/>
    <w:rsid w:val="004B4D27"/>
    <w:rsid w:val="004B4E48"/>
    <w:rsid w:val="004B63B9"/>
    <w:rsid w:val="004C035B"/>
    <w:rsid w:val="004C3AB1"/>
    <w:rsid w:val="004C3F80"/>
    <w:rsid w:val="004C451A"/>
    <w:rsid w:val="004C55AC"/>
    <w:rsid w:val="004C5971"/>
    <w:rsid w:val="004D09D0"/>
    <w:rsid w:val="004D18E5"/>
    <w:rsid w:val="004D2367"/>
    <w:rsid w:val="004D2547"/>
    <w:rsid w:val="004D26E8"/>
    <w:rsid w:val="004D2849"/>
    <w:rsid w:val="004D396B"/>
    <w:rsid w:val="004D44BE"/>
    <w:rsid w:val="004E143F"/>
    <w:rsid w:val="004E1B5A"/>
    <w:rsid w:val="004E39C6"/>
    <w:rsid w:val="004E47BC"/>
    <w:rsid w:val="004E50C2"/>
    <w:rsid w:val="004F06B4"/>
    <w:rsid w:val="004F2315"/>
    <w:rsid w:val="004F66DD"/>
    <w:rsid w:val="00500F83"/>
    <w:rsid w:val="00503F3F"/>
    <w:rsid w:val="005054C1"/>
    <w:rsid w:val="0050730D"/>
    <w:rsid w:val="00507A70"/>
    <w:rsid w:val="00507F67"/>
    <w:rsid w:val="0051222A"/>
    <w:rsid w:val="005146DA"/>
    <w:rsid w:val="005152EA"/>
    <w:rsid w:val="00515A9D"/>
    <w:rsid w:val="0051611C"/>
    <w:rsid w:val="00517C54"/>
    <w:rsid w:val="00523EC9"/>
    <w:rsid w:val="00526503"/>
    <w:rsid w:val="00526A45"/>
    <w:rsid w:val="0052773C"/>
    <w:rsid w:val="00527766"/>
    <w:rsid w:val="0053019A"/>
    <w:rsid w:val="00530EAD"/>
    <w:rsid w:val="005347B9"/>
    <w:rsid w:val="00535227"/>
    <w:rsid w:val="005353A2"/>
    <w:rsid w:val="00535623"/>
    <w:rsid w:val="005361A5"/>
    <w:rsid w:val="00537031"/>
    <w:rsid w:val="00537706"/>
    <w:rsid w:val="0054005E"/>
    <w:rsid w:val="00540348"/>
    <w:rsid w:val="00540F72"/>
    <w:rsid w:val="005413F8"/>
    <w:rsid w:val="005422BF"/>
    <w:rsid w:val="00542486"/>
    <w:rsid w:val="00543AE5"/>
    <w:rsid w:val="00543DF5"/>
    <w:rsid w:val="00546976"/>
    <w:rsid w:val="00550912"/>
    <w:rsid w:val="00552DC7"/>
    <w:rsid w:val="00555BA3"/>
    <w:rsid w:val="00555D52"/>
    <w:rsid w:val="00556932"/>
    <w:rsid w:val="00557181"/>
    <w:rsid w:val="00561CD4"/>
    <w:rsid w:val="005622C6"/>
    <w:rsid w:val="00562EF7"/>
    <w:rsid w:val="00563824"/>
    <w:rsid w:val="005646BC"/>
    <w:rsid w:val="005646D9"/>
    <w:rsid w:val="00564AE9"/>
    <w:rsid w:val="005657AC"/>
    <w:rsid w:val="0056769A"/>
    <w:rsid w:val="00567A30"/>
    <w:rsid w:val="005709F7"/>
    <w:rsid w:val="00571694"/>
    <w:rsid w:val="00572F51"/>
    <w:rsid w:val="0057358B"/>
    <w:rsid w:val="005736ED"/>
    <w:rsid w:val="005742BE"/>
    <w:rsid w:val="0057481D"/>
    <w:rsid w:val="005802BF"/>
    <w:rsid w:val="00580307"/>
    <w:rsid w:val="005819F8"/>
    <w:rsid w:val="005825B1"/>
    <w:rsid w:val="00583AC1"/>
    <w:rsid w:val="005901F3"/>
    <w:rsid w:val="005922DA"/>
    <w:rsid w:val="00595AF5"/>
    <w:rsid w:val="00596A46"/>
    <w:rsid w:val="00596D29"/>
    <w:rsid w:val="005976DA"/>
    <w:rsid w:val="005A10C2"/>
    <w:rsid w:val="005A36DF"/>
    <w:rsid w:val="005A390F"/>
    <w:rsid w:val="005A48E1"/>
    <w:rsid w:val="005A7571"/>
    <w:rsid w:val="005B04A7"/>
    <w:rsid w:val="005B2619"/>
    <w:rsid w:val="005B29F7"/>
    <w:rsid w:val="005B40F1"/>
    <w:rsid w:val="005B6997"/>
    <w:rsid w:val="005C1303"/>
    <w:rsid w:val="005C2798"/>
    <w:rsid w:val="005C28A4"/>
    <w:rsid w:val="005C484D"/>
    <w:rsid w:val="005C4997"/>
    <w:rsid w:val="005C4F64"/>
    <w:rsid w:val="005C6C85"/>
    <w:rsid w:val="005C7DB8"/>
    <w:rsid w:val="005D0793"/>
    <w:rsid w:val="005D0F3B"/>
    <w:rsid w:val="005D1882"/>
    <w:rsid w:val="005D3892"/>
    <w:rsid w:val="005D39DD"/>
    <w:rsid w:val="005D3E6D"/>
    <w:rsid w:val="005D45CC"/>
    <w:rsid w:val="005D582D"/>
    <w:rsid w:val="005D6D1D"/>
    <w:rsid w:val="005E0A78"/>
    <w:rsid w:val="005E188B"/>
    <w:rsid w:val="005E2971"/>
    <w:rsid w:val="005E3718"/>
    <w:rsid w:val="005E39D8"/>
    <w:rsid w:val="005E5A1D"/>
    <w:rsid w:val="005E5B34"/>
    <w:rsid w:val="005E6772"/>
    <w:rsid w:val="005E6F8B"/>
    <w:rsid w:val="005E78CC"/>
    <w:rsid w:val="005E79EB"/>
    <w:rsid w:val="005F063D"/>
    <w:rsid w:val="005F06DC"/>
    <w:rsid w:val="005F0C83"/>
    <w:rsid w:val="005F0E33"/>
    <w:rsid w:val="005F2807"/>
    <w:rsid w:val="005F2A1F"/>
    <w:rsid w:val="005F4BD7"/>
    <w:rsid w:val="005F532A"/>
    <w:rsid w:val="005F5471"/>
    <w:rsid w:val="005F6530"/>
    <w:rsid w:val="00600E13"/>
    <w:rsid w:val="0060186E"/>
    <w:rsid w:val="00601932"/>
    <w:rsid w:val="00603012"/>
    <w:rsid w:val="0060378E"/>
    <w:rsid w:val="00606834"/>
    <w:rsid w:val="00606CD0"/>
    <w:rsid w:val="006076EE"/>
    <w:rsid w:val="00607EA1"/>
    <w:rsid w:val="00610993"/>
    <w:rsid w:val="00611C33"/>
    <w:rsid w:val="00612AF1"/>
    <w:rsid w:val="0061397F"/>
    <w:rsid w:val="006147D0"/>
    <w:rsid w:val="00616116"/>
    <w:rsid w:val="00617C0F"/>
    <w:rsid w:val="00617C1B"/>
    <w:rsid w:val="00617DA6"/>
    <w:rsid w:val="006207B6"/>
    <w:rsid w:val="00620977"/>
    <w:rsid w:val="00622B16"/>
    <w:rsid w:val="006245EE"/>
    <w:rsid w:val="00624882"/>
    <w:rsid w:val="00624BA3"/>
    <w:rsid w:val="0062573C"/>
    <w:rsid w:val="00625F9B"/>
    <w:rsid w:val="00626980"/>
    <w:rsid w:val="00627DFD"/>
    <w:rsid w:val="006314BE"/>
    <w:rsid w:val="006358C8"/>
    <w:rsid w:val="00635C3F"/>
    <w:rsid w:val="00637CA1"/>
    <w:rsid w:val="00642198"/>
    <w:rsid w:val="00643242"/>
    <w:rsid w:val="00643C5E"/>
    <w:rsid w:val="006461E1"/>
    <w:rsid w:val="00646786"/>
    <w:rsid w:val="00647434"/>
    <w:rsid w:val="006478B1"/>
    <w:rsid w:val="00647DF0"/>
    <w:rsid w:val="006507C7"/>
    <w:rsid w:val="00650CAE"/>
    <w:rsid w:val="006510D3"/>
    <w:rsid w:val="00651954"/>
    <w:rsid w:val="0065271D"/>
    <w:rsid w:val="00653DD8"/>
    <w:rsid w:val="00653FCE"/>
    <w:rsid w:val="006574AD"/>
    <w:rsid w:val="006605F2"/>
    <w:rsid w:val="00660DF9"/>
    <w:rsid w:val="006620B3"/>
    <w:rsid w:val="006621CA"/>
    <w:rsid w:val="006622F8"/>
    <w:rsid w:val="00662F11"/>
    <w:rsid w:val="0066417A"/>
    <w:rsid w:val="00666D64"/>
    <w:rsid w:val="0067099B"/>
    <w:rsid w:val="00670B42"/>
    <w:rsid w:val="006731AB"/>
    <w:rsid w:val="006734FC"/>
    <w:rsid w:val="00673574"/>
    <w:rsid w:val="006735A6"/>
    <w:rsid w:val="00673E4B"/>
    <w:rsid w:val="00673E6B"/>
    <w:rsid w:val="006758E3"/>
    <w:rsid w:val="0068110D"/>
    <w:rsid w:val="006812D5"/>
    <w:rsid w:val="00681ED2"/>
    <w:rsid w:val="00682D38"/>
    <w:rsid w:val="00687BEA"/>
    <w:rsid w:val="006916B0"/>
    <w:rsid w:val="0069217D"/>
    <w:rsid w:val="006931B4"/>
    <w:rsid w:val="006967D0"/>
    <w:rsid w:val="00697728"/>
    <w:rsid w:val="00697800"/>
    <w:rsid w:val="006A1492"/>
    <w:rsid w:val="006A32D4"/>
    <w:rsid w:val="006A5380"/>
    <w:rsid w:val="006A5AD2"/>
    <w:rsid w:val="006B2043"/>
    <w:rsid w:val="006B4D59"/>
    <w:rsid w:val="006B721A"/>
    <w:rsid w:val="006B733B"/>
    <w:rsid w:val="006C1A5F"/>
    <w:rsid w:val="006C1F57"/>
    <w:rsid w:val="006C3576"/>
    <w:rsid w:val="006C3863"/>
    <w:rsid w:val="006C3A91"/>
    <w:rsid w:val="006C4A48"/>
    <w:rsid w:val="006C51B6"/>
    <w:rsid w:val="006C5A0C"/>
    <w:rsid w:val="006C68A4"/>
    <w:rsid w:val="006C7090"/>
    <w:rsid w:val="006D1788"/>
    <w:rsid w:val="006D2715"/>
    <w:rsid w:val="006D2744"/>
    <w:rsid w:val="006D33FF"/>
    <w:rsid w:val="006D611A"/>
    <w:rsid w:val="006D7419"/>
    <w:rsid w:val="006D74C2"/>
    <w:rsid w:val="006D7893"/>
    <w:rsid w:val="006D7C65"/>
    <w:rsid w:val="006D7F6E"/>
    <w:rsid w:val="006E0116"/>
    <w:rsid w:val="006E12A3"/>
    <w:rsid w:val="006E206A"/>
    <w:rsid w:val="006E32EC"/>
    <w:rsid w:val="006E448E"/>
    <w:rsid w:val="006E5206"/>
    <w:rsid w:val="006E67E6"/>
    <w:rsid w:val="006F31C9"/>
    <w:rsid w:val="006F34FF"/>
    <w:rsid w:val="006F3726"/>
    <w:rsid w:val="006F4027"/>
    <w:rsid w:val="006F60C8"/>
    <w:rsid w:val="006F774B"/>
    <w:rsid w:val="00700189"/>
    <w:rsid w:val="00700B71"/>
    <w:rsid w:val="0070200F"/>
    <w:rsid w:val="00703C3C"/>
    <w:rsid w:val="00703FE5"/>
    <w:rsid w:val="00703FFA"/>
    <w:rsid w:val="007043E3"/>
    <w:rsid w:val="007048B3"/>
    <w:rsid w:val="00704C4F"/>
    <w:rsid w:val="0070523E"/>
    <w:rsid w:val="007053AB"/>
    <w:rsid w:val="00705585"/>
    <w:rsid w:val="00705E00"/>
    <w:rsid w:val="00706208"/>
    <w:rsid w:val="007065A7"/>
    <w:rsid w:val="00707BE0"/>
    <w:rsid w:val="00710EFF"/>
    <w:rsid w:val="0071186E"/>
    <w:rsid w:val="00714F62"/>
    <w:rsid w:val="007155D2"/>
    <w:rsid w:val="00716287"/>
    <w:rsid w:val="00720ACD"/>
    <w:rsid w:val="007240C3"/>
    <w:rsid w:val="00724A9B"/>
    <w:rsid w:val="00724D3F"/>
    <w:rsid w:val="00725206"/>
    <w:rsid w:val="007272E9"/>
    <w:rsid w:val="0072772C"/>
    <w:rsid w:val="00730F9B"/>
    <w:rsid w:val="007312DC"/>
    <w:rsid w:val="00732771"/>
    <w:rsid w:val="00732865"/>
    <w:rsid w:val="00733C0C"/>
    <w:rsid w:val="00733D6A"/>
    <w:rsid w:val="0074006B"/>
    <w:rsid w:val="00743320"/>
    <w:rsid w:val="00745E17"/>
    <w:rsid w:val="0075062B"/>
    <w:rsid w:val="00751F72"/>
    <w:rsid w:val="00752D81"/>
    <w:rsid w:val="00754254"/>
    <w:rsid w:val="00754A4C"/>
    <w:rsid w:val="00755436"/>
    <w:rsid w:val="00760029"/>
    <w:rsid w:val="00761EA5"/>
    <w:rsid w:val="00764FDD"/>
    <w:rsid w:val="0076511A"/>
    <w:rsid w:val="00765F43"/>
    <w:rsid w:val="0076697E"/>
    <w:rsid w:val="00767092"/>
    <w:rsid w:val="007739E7"/>
    <w:rsid w:val="0077422C"/>
    <w:rsid w:val="00776DD9"/>
    <w:rsid w:val="007775D8"/>
    <w:rsid w:val="007775F5"/>
    <w:rsid w:val="00780151"/>
    <w:rsid w:val="007864F7"/>
    <w:rsid w:val="00786933"/>
    <w:rsid w:val="0078700D"/>
    <w:rsid w:val="00787A64"/>
    <w:rsid w:val="00787ED0"/>
    <w:rsid w:val="00790E17"/>
    <w:rsid w:val="00791BA1"/>
    <w:rsid w:val="007925CD"/>
    <w:rsid w:val="0079276F"/>
    <w:rsid w:val="00793F57"/>
    <w:rsid w:val="00794854"/>
    <w:rsid w:val="00794A37"/>
    <w:rsid w:val="00795B8F"/>
    <w:rsid w:val="00795F33"/>
    <w:rsid w:val="00796BAB"/>
    <w:rsid w:val="00796D03"/>
    <w:rsid w:val="00797302"/>
    <w:rsid w:val="00797F39"/>
    <w:rsid w:val="00797FEE"/>
    <w:rsid w:val="007A514E"/>
    <w:rsid w:val="007A58EF"/>
    <w:rsid w:val="007A619B"/>
    <w:rsid w:val="007B008E"/>
    <w:rsid w:val="007B0C79"/>
    <w:rsid w:val="007B1190"/>
    <w:rsid w:val="007B1D07"/>
    <w:rsid w:val="007B1FFC"/>
    <w:rsid w:val="007B2839"/>
    <w:rsid w:val="007B2CBC"/>
    <w:rsid w:val="007B443F"/>
    <w:rsid w:val="007B52AC"/>
    <w:rsid w:val="007B5F49"/>
    <w:rsid w:val="007B608D"/>
    <w:rsid w:val="007B7170"/>
    <w:rsid w:val="007B7617"/>
    <w:rsid w:val="007C03D7"/>
    <w:rsid w:val="007C10F4"/>
    <w:rsid w:val="007C17FA"/>
    <w:rsid w:val="007C187E"/>
    <w:rsid w:val="007C1A7E"/>
    <w:rsid w:val="007C1EFB"/>
    <w:rsid w:val="007C2E16"/>
    <w:rsid w:val="007C47A8"/>
    <w:rsid w:val="007C4C11"/>
    <w:rsid w:val="007D17F4"/>
    <w:rsid w:val="007D485A"/>
    <w:rsid w:val="007D70EE"/>
    <w:rsid w:val="007E33A2"/>
    <w:rsid w:val="007E3C28"/>
    <w:rsid w:val="007E52A9"/>
    <w:rsid w:val="007E579D"/>
    <w:rsid w:val="007E6C0D"/>
    <w:rsid w:val="007E7B2E"/>
    <w:rsid w:val="007F044A"/>
    <w:rsid w:val="007F1604"/>
    <w:rsid w:val="007F3F23"/>
    <w:rsid w:val="007F5C1A"/>
    <w:rsid w:val="00800BC2"/>
    <w:rsid w:val="008037CA"/>
    <w:rsid w:val="008048BD"/>
    <w:rsid w:val="00805C4C"/>
    <w:rsid w:val="00806822"/>
    <w:rsid w:val="00806B3D"/>
    <w:rsid w:val="00810C47"/>
    <w:rsid w:val="00811024"/>
    <w:rsid w:val="00811A76"/>
    <w:rsid w:val="00811ABE"/>
    <w:rsid w:val="00811BE0"/>
    <w:rsid w:val="00812AD7"/>
    <w:rsid w:val="00812D0C"/>
    <w:rsid w:val="0081341B"/>
    <w:rsid w:val="00813B32"/>
    <w:rsid w:val="00814444"/>
    <w:rsid w:val="00815AFE"/>
    <w:rsid w:val="00817622"/>
    <w:rsid w:val="008235AF"/>
    <w:rsid w:val="00823688"/>
    <w:rsid w:val="00823F09"/>
    <w:rsid w:val="0082503A"/>
    <w:rsid w:val="00825969"/>
    <w:rsid w:val="00825AC6"/>
    <w:rsid w:val="00826F7E"/>
    <w:rsid w:val="00826FA0"/>
    <w:rsid w:val="00832986"/>
    <w:rsid w:val="0083302B"/>
    <w:rsid w:val="00835F61"/>
    <w:rsid w:val="008378C2"/>
    <w:rsid w:val="00837AB4"/>
    <w:rsid w:val="008416D5"/>
    <w:rsid w:val="00841B0D"/>
    <w:rsid w:val="00841EB4"/>
    <w:rsid w:val="00845FEE"/>
    <w:rsid w:val="00846588"/>
    <w:rsid w:val="008465B8"/>
    <w:rsid w:val="00847752"/>
    <w:rsid w:val="0084799A"/>
    <w:rsid w:val="008505AB"/>
    <w:rsid w:val="00850995"/>
    <w:rsid w:val="00852023"/>
    <w:rsid w:val="00856DD3"/>
    <w:rsid w:val="0085771F"/>
    <w:rsid w:val="0085774C"/>
    <w:rsid w:val="00857FF9"/>
    <w:rsid w:val="00860699"/>
    <w:rsid w:val="00861E46"/>
    <w:rsid w:val="00861E9B"/>
    <w:rsid w:val="00861EA6"/>
    <w:rsid w:val="008624E3"/>
    <w:rsid w:val="008629A6"/>
    <w:rsid w:val="0086427C"/>
    <w:rsid w:val="00865AA7"/>
    <w:rsid w:val="008661D5"/>
    <w:rsid w:val="008706BD"/>
    <w:rsid w:val="00870E78"/>
    <w:rsid w:val="00871AFB"/>
    <w:rsid w:val="008723C9"/>
    <w:rsid w:val="00872D68"/>
    <w:rsid w:val="0087376D"/>
    <w:rsid w:val="00873A6E"/>
    <w:rsid w:val="00875CFC"/>
    <w:rsid w:val="00876A03"/>
    <w:rsid w:val="00882494"/>
    <w:rsid w:val="00884D9D"/>
    <w:rsid w:val="008856EF"/>
    <w:rsid w:val="0088660B"/>
    <w:rsid w:val="008900D1"/>
    <w:rsid w:val="00890938"/>
    <w:rsid w:val="0089442A"/>
    <w:rsid w:val="00894A2B"/>
    <w:rsid w:val="008977C4"/>
    <w:rsid w:val="008A1FBF"/>
    <w:rsid w:val="008A2B46"/>
    <w:rsid w:val="008A4C13"/>
    <w:rsid w:val="008A7439"/>
    <w:rsid w:val="008A74AE"/>
    <w:rsid w:val="008B0C3B"/>
    <w:rsid w:val="008B0E50"/>
    <w:rsid w:val="008B1A41"/>
    <w:rsid w:val="008B2E38"/>
    <w:rsid w:val="008B2FE8"/>
    <w:rsid w:val="008B32AD"/>
    <w:rsid w:val="008B585F"/>
    <w:rsid w:val="008B694E"/>
    <w:rsid w:val="008C0CA9"/>
    <w:rsid w:val="008C17BF"/>
    <w:rsid w:val="008C24F0"/>
    <w:rsid w:val="008C25EC"/>
    <w:rsid w:val="008C333D"/>
    <w:rsid w:val="008C45D3"/>
    <w:rsid w:val="008C531A"/>
    <w:rsid w:val="008C5A28"/>
    <w:rsid w:val="008D04CD"/>
    <w:rsid w:val="008D07A5"/>
    <w:rsid w:val="008D0D3F"/>
    <w:rsid w:val="008D1A24"/>
    <w:rsid w:val="008D2640"/>
    <w:rsid w:val="008D2B2E"/>
    <w:rsid w:val="008D51D6"/>
    <w:rsid w:val="008D58A9"/>
    <w:rsid w:val="008D5981"/>
    <w:rsid w:val="008D5A7E"/>
    <w:rsid w:val="008D75B4"/>
    <w:rsid w:val="008E1B46"/>
    <w:rsid w:val="008E2547"/>
    <w:rsid w:val="008E352A"/>
    <w:rsid w:val="008E3D4C"/>
    <w:rsid w:val="008E4017"/>
    <w:rsid w:val="008E405E"/>
    <w:rsid w:val="008E526F"/>
    <w:rsid w:val="008E5670"/>
    <w:rsid w:val="008E60D5"/>
    <w:rsid w:val="008E6138"/>
    <w:rsid w:val="008F04BE"/>
    <w:rsid w:val="008F1FCE"/>
    <w:rsid w:val="008F253F"/>
    <w:rsid w:val="008F3A32"/>
    <w:rsid w:val="008F6958"/>
    <w:rsid w:val="008F6C61"/>
    <w:rsid w:val="008F71EC"/>
    <w:rsid w:val="00900F82"/>
    <w:rsid w:val="009027F1"/>
    <w:rsid w:val="009045B7"/>
    <w:rsid w:val="009049FC"/>
    <w:rsid w:val="00904F9E"/>
    <w:rsid w:val="0090574C"/>
    <w:rsid w:val="00906570"/>
    <w:rsid w:val="009100E1"/>
    <w:rsid w:val="00910A6D"/>
    <w:rsid w:val="00910CFA"/>
    <w:rsid w:val="00911185"/>
    <w:rsid w:val="009122E5"/>
    <w:rsid w:val="009127FD"/>
    <w:rsid w:val="009136DA"/>
    <w:rsid w:val="00913EE7"/>
    <w:rsid w:val="00916D5A"/>
    <w:rsid w:val="0092103F"/>
    <w:rsid w:val="00922922"/>
    <w:rsid w:val="0092299C"/>
    <w:rsid w:val="00923311"/>
    <w:rsid w:val="00923DE8"/>
    <w:rsid w:val="00924699"/>
    <w:rsid w:val="00926C39"/>
    <w:rsid w:val="0093025B"/>
    <w:rsid w:val="009306F7"/>
    <w:rsid w:val="0093091C"/>
    <w:rsid w:val="009339D3"/>
    <w:rsid w:val="009348F9"/>
    <w:rsid w:val="00935644"/>
    <w:rsid w:val="009400DD"/>
    <w:rsid w:val="00940834"/>
    <w:rsid w:val="00942B77"/>
    <w:rsid w:val="00945808"/>
    <w:rsid w:val="00945A13"/>
    <w:rsid w:val="00945BB9"/>
    <w:rsid w:val="00947C70"/>
    <w:rsid w:val="00952E6D"/>
    <w:rsid w:val="00953C55"/>
    <w:rsid w:val="0095594C"/>
    <w:rsid w:val="00962DCC"/>
    <w:rsid w:val="0096328D"/>
    <w:rsid w:val="00963DEC"/>
    <w:rsid w:val="00964329"/>
    <w:rsid w:val="00965C39"/>
    <w:rsid w:val="009668BC"/>
    <w:rsid w:val="00966ADB"/>
    <w:rsid w:val="009718DB"/>
    <w:rsid w:val="009738A1"/>
    <w:rsid w:val="00974339"/>
    <w:rsid w:val="009745AF"/>
    <w:rsid w:val="0097567B"/>
    <w:rsid w:val="00975A69"/>
    <w:rsid w:val="00977D59"/>
    <w:rsid w:val="00977FF8"/>
    <w:rsid w:val="00980A57"/>
    <w:rsid w:val="009810EF"/>
    <w:rsid w:val="00981FA7"/>
    <w:rsid w:val="0098206C"/>
    <w:rsid w:val="009825BE"/>
    <w:rsid w:val="00982EE5"/>
    <w:rsid w:val="00983122"/>
    <w:rsid w:val="009844CE"/>
    <w:rsid w:val="009863BB"/>
    <w:rsid w:val="00986D1D"/>
    <w:rsid w:val="009872A9"/>
    <w:rsid w:val="0098775D"/>
    <w:rsid w:val="009903B3"/>
    <w:rsid w:val="00991657"/>
    <w:rsid w:val="0099661E"/>
    <w:rsid w:val="00996A96"/>
    <w:rsid w:val="00996F68"/>
    <w:rsid w:val="00996F86"/>
    <w:rsid w:val="00997964"/>
    <w:rsid w:val="009A16BA"/>
    <w:rsid w:val="009A2290"/>
    <w:rsid w:val="009A3149"/>
    <w:rsid w:val="009A3E7B"/>
    <w:rsid w:val="009A5B77"/>
    <w:rsid w:val="009A7BAD"/>
    <w:rsid w:val="009B0378"/>
    <w:rsid w:val="009B37FE"/>
    <w:rsid w:val="009B425F"/>
    <w:rsid w:val="009B69DA"/>
    <w:rsid w:val="009B71CF"/>
    <w:rsid w:val="009C27A4"/>
    <w:rsid w:val="009C2B18"/>
    <w:rsid w:val="009C3E63"/>
    <w:rsid w:val="009C4855"/>
    <w:rsid w:val="009C51CD"/>
    <w:rsid w:val="009C5F04"/>
    <w:rsid w:val="009C5F71"/>
    <w:rsid w:val="009C6593"/>
    <w:rsid w:val="009C735B"/>
    <w:rsid w:val="009C7F03"/>
    <w:rsid w:val="009D204A"/>
    <w:rsid w:val="009D3281"/>
    <w:rsid w:val="009D52F5"/>
    <w:rsid w:val="009E0259"/>
    <w:rsid w:val="009E07B3"/>
    <w:rsid w:val="009E1B91"/>
    <w:rsid w:val="009E1EB5"/>
    <w:rsid w:val="009E27D7"/>
    <w:rsid w:val="009E322C"/>
    <w:rsid w:val="009E6B82"/>
    <w:rsid w:val="009E6FC0"/>
    <w:rsid w:val="009F0970"/>
    <w:rsid w:val="009F1F42"/>
    <w:rsid w:val="009F2512"/>
    <w:rsid w:val="009F3EB8"/>
    <w:rsid w:val="009F609D"/>
    <w:rsid w:val="00A02744"/>
    <w:rsid w:val="00A04A1C"/>
    <w:rsid w:val="00A05C8B"/>
    <w:rsid w:val="00A06032"/>
    <w:rsid w:val="00A06362"/>
    <w:rsid w:val="00A11DD8"/>
    <w:rsid w:val="00A13F82"/>
    <w:rsid w:val="00A206D2"/>
    <w:rsid w:val="00A208C2"/>
    <w:rsid w:val="00A20E3F"/>
    <w:rsid w:val="00A2208E"/>
    <w:rsid w:val="00A225C4"/>
    <w:rsid w:val="00A245BA"/>
    <w:rsid w:val="00A26308"/>
    <w:rsid w:val="00A2661B"/>
    <w:rsid w:val="00A26CC4"/>
    <w:rsid w:val="00A27A8C"/>
    <w:rsid w:val="00A30580"/>
    <w:rsid w:val="00A3099A"/>
    <w:rsid w:val="00A3148C"/>
    <w:rsid w:val="00A31C7D"/>
    <w:rsid w:val="00A32440"/>
    <w:rsid w:val="00A32C7B"/>
    <w:rsid w:val="00A35324"/>
    <w:rsid w:val="00A36D58"/>
    <w:rsid w:val="00A3718E"/>
    <w:rsid w:val="00A37FFC"/>
    <w:rsid w:val="00A41286"/>
    <w:rsid w:val="00A4154A"/>
    <w:rsid w:val="00A42FF2"/>
    <w:rsid w:val="00A43195"/>
    <w:rsid w:val="00A43717"/>
    <w:rsid w:val="00A4473B"/>
    <w:rsid w:val="00A44DDC"/>
    <w:rsid w:val="00A45E61"/>
    <w:rsid w:val="00A476AA"/>
    <w:rsid w:val="00A505D0"/>
    <w:rsid w:val="00A5103E"/>
    <w:rsid w:val="00A51AEC"/>
    <w:rsid w:val="00A529AB"/>
    <w:rsid w:val="00A6126C"/>
    <w:rsid w:val="00A6286D"/>
    <w:rsid w:val="00A62FE5"/>
    <w:rsid w:val="00A63DF5"/>
    <w:rsid w:val="00A64827"/>
    <w:rsid w:val="00A64D58"/>
    <w:rsid w:val="00A6627C"/>
    <w:rsid w:val="00A668AB"/>
    <w:rsid w:val="00A71999"/>
    <w:rsid w:val="00A75AF6"/>
    <w:rsid w:val="00A76868"/>
    <w:rsid w:val="00A77690"/>
    <w:rsid w:val="00A80189"/>
    <w:rsid w:val="00A815B7"/>
    <w:rsid w:val="00A81EE6"/>
    <w:rsid w:val="00A8268E"/>
    <w:rsid w:val="00A84D5F"/>
    <w:rsid w:val="00A853C5"/>
    <w:rsid w:val="00A86DB1"/>
    <w:rsid w:val="00A92BC7"/>
    <w:rsid w:val="00A92F10"/>
    <w:rsid w:val="00A938AD"/>
    <w:rsid w:val="00A96331"/>
    <w:rsid w:val="00A964C6"/>
    <w:rsid w:val="00AA119B"/>
    <w:rsid w:val="00AA14E4"/>
    <w:rsid w:val="00AA16C5"/>
    <w:rsid w:val="00AA17A0"/>
    <w:rsid w:val="00AA2228"/>
    <w:rsid w:val="00AA2D1B"/>
    <w:rsid w:val="00AA3F81"/>
    <w:rsid w:val="00AA41C1"/>
    <w:rsid w:val="00AA7767"/>
    <w:rsid w:val="00AA7BC6"/>
    <w:rsid w:val="00AB1AEF"/>
    <w:rsid w:val="00AB3101"/>
    <w:rsid w:val="00AB3EA4"/>
    <w:rsid w:val="00AB575F"/>
    <w:rsid w:val="00AB662D"/>
    <w:rsid w:val="00AB663C"/>
    <w:rsid w:val="00AB67FE"/>
    <w:rsid w:val="00AB7E40"/>
    <w:rsid w:val="00AC111B"/>
    <w:rsid w:val="00AC2080"/>
    <w:rsid w:val="00AC2B69"/>
    <w:rsid w:val="00AC4A59"/>
    <w:rsid w:val="00AD00B5"/>
    <w:rsid w:val="00AD3761"/>
    <w:rsid w:val="00AE0A57"/>
    <w:rsid w:val="00AE263A"/>
    <w:rsid w:val="00AE52C0"/>
    <w:rsid w:val="00AE66E9"/>
    <w:rsid w:val="00AE7518"/>
    <w:rsid w:val="00AE7666"/>
    <w:rsid w:val="00AF0AEB"/>
    <w:rsid w:val="00AF0D74"/>
    <w:rsid w:val="00AF0F7D"/>
    <w:rsid w:val="00AF155D"/>
    <w:rsid w:val="00AF21A4"/>
    <w:rsid w:val="00AF6109"/>
    <w:rsid w:val="00AF71FF"/>
    <w:rsid w:val="00B013A6"/>
    <w:rsid w:val="00B019E4"/>
    <w:rsid w:val="00B04E86"/>
    <w:rsid w:val="00B05131"/>
    <w:rsid w:val="00B0684F"/>
    <w:rsid w:val="00B06A2B"/>
    <w:rsid w:val="00B06D3D"/>
    <w:rsid w:val="00B071CA"/>
    <w:rsid w:val="00B104EA"/>
    <w:rsid w:val="00B1074A"/>
    <w:rsid w:val="00B14814"/>
    <w:rsid w:val="00B14E34"/>
    <w:rsid w:val="00B163F2"/>
    <w:rsid w:val="00B16EC3"/>
    <w:rsid w:val="00B17C4E"/>
    <w:rsid w:val="00B210AA"/>
    <w:rsid w:val="00B2167C"/>
    <w:rsid w:val="00B23301"/>
    <w:rsid w:val="00B254A4"/>
    <w:rsid w:val="00B25AC2"/>
    <w:rsid w:val="00B26EDB"/>
    <w:rsid w:val="00B32931"/>
    <w:rsid w:val="00B331F7"/>
    <w:rsid w:val="00B33BAC"/>
    <w:rsid w:val="00B34737"/>
    <w:rsid w:val="00B3488C"/>
    <w:rsid w:val="00B34C26"/>
    <w:rsid w:val="00B354DE"/>
    <w:rsid w:val="00B37C4E"/>
    <w:rsid w:val="00B37CC5"/>
    <w:rsid w:val="00B401F6"/>
    <w:rsid w:val="00B41FC9"/>
    <w:rsid w:val="00B46CE3"/>
    <w:rsid w:val="00B55D38"/>
    <w:rsid w:val="00B55EF2"/>
    <w:rsid w:val="00B56130"/>
    <w:rsid w:val="00B561D1"/>
    <w:rsid w:val="00B561F3"/>
    <w:rsid w:val="00B57BC7"/>
    <w:rsid w:val="00B60C72"/>
    <w:rsid w:val="00B60E11"/>
    <w:rsid w:val="00B61ACF"/>
    <w:rsid w:val="00B62142"/>
    <w:rsid w:val="00B6338D"/>
    <w:rsid w:val="00B675B1"/>
    <w:rsid w:val="00B675E7"/>
    <w:rsid w:val="00B676FB"/>
    <w:rsid w:val="00B70F76"/>
    <w:rsid w:val="00B7105E"/>
    <w:rsid w:val="00B72617"/>
    <w:rsid w:val="00B7373A"/>
    <w:rsid w:val="00B7547A"/>
    <w:rsid w:val="00B764B1"/>
    <w:rsid w:val="00B771A4"/>
    <w:rsid w:val="00B77A0C"/>
    <w:rsid w:val="00B80105"/>
    <w:rsid w:val="00B80D57"/>
    <w:rsid w:val="00B853C9"/>
    <w:rsid w:val="00B85B0B"/>
    <w:rsid w:val="00B905FF"/>
    <w:rsid w:val="00B906CD"/>
    <w:rsid w:val="00B91B7C"/>
    <w:rsid w:val="00B92940"/>
    <w:rsid w:val="00B93186"/>
    <w:rsid w:val="00B933A6"/>
    <w:rsid w:val="00B94BBE"/>
    <w:rsid w:val="00B959FD"/>
    <w:rsid w:val="00B95C51"/>
    <w:rsid w:val="00B95FF7"/>
    <w:rsid w:val="00B97A50"/>
    <w:rsid w:val="00B97B91"/>
    <w:rsid w:val="00BA4229"/>
    <w:rsid w:val="00BA4C28"/>
    <w:rsid w:val="00BA6273"/>
    <w:rsid w:val="00BA775E"/>
    <w:rsid w:val="00BA7D67"/>
    <w:rsid w:val="00BB15E1"/>
    <w:rsid w:val="00BB236F"/>
    <w:rsid w:val="00BB49D6"/>
    <w:rsid w:val="00BB6405"/>
    <w:rsid w:val="00BB6DA3"/>
    <w:rsid w:val="00BB6DB9"/>
    <w:rsid w:val="00BB7230"/>
    <w:rsid w:val="00BC0607"/>
    <w:rsid w:val="00BC20F5"/>
    <w:rsid w:val="00BC21F6"/>
    <w:rsid w:val="00BC499F"/>
    <w:rsid w:val="00BC6A0A"/>
    <w:rsid w:val="00BC78D8"/>
    <w:rsid w:val="00BD144C"/>
    <w:rsid w:val="00BD321A"/>
    <w:rsid w:val="00BD3A39"/>
    <w:rsid w:val="00BD52E8"/>
    <w:rsid w:val="00BD5CC2"/>
    <w:rsid w:val="00BD6204"/>
    <w:rsid w:val="00BD6695"/>
    <w:rsid w:val="00BE00F0"/>
    <w:rsid w:val="00BE11A6"/>
    <w:rsid w:val="00BE13BD"/>
    <w:rsid w:val="00BE3081"/>
    <w:rsid w:val="00BE3BA0"/>
    <w:rsid w:val="00BE4841"/>
    <w:rsid w:val="00BE5368"/>
    <w:rsid w:val="00BE5DB2"/>
    <w:rsid w:val="00BE5EB8"/>
    <w:rsid w:val="00BE648A"/>
    <w:rsid w:val="00BE7AE6"/>
    <w:rsid w:val="00BE7B63"/>
    <w:rsid w:val="00BF2FCC"/>
    <w:rsid w:val="00BF3BBF"/>
    <w:rsid w:val="00BF5564"/>
    <w:rsid w:val="00BF6993"/>
    <w:rsid w:val="00C00B6C"/>
    <w:rsid w:val="00C01B18"/>
    <w:rsid w:val="00C01B72"/>
    <w:rsid w:val="00C01D77"/>
    <w:rsid w:val="00C0223D"/>
    <w:rsid w:val="00C02A7D"/>
    <w:rsid w:val="00C03C44"/>
    <w:rsid w:val="00C05351"/>
    <w:rsid w:val="00C06909"/>
    <w:rsid w:val="00C06D99"/>
    <w:rsid w:val="00C0756D"/>
    <w:rsid w:val="00C10AEA"/>
    <w:rsid w:val="00C11C2C"/>
    <w:rsid w:val="00C1334F"/>
    <w:rsid w:val="00C14253"/>
    <w:rsid w:val="00C16082"/>
    <w:rsid w:val="00C178F5"/>
    <w:rsid w:val="00C17E5C"/>
    <w:rsid w:val="00C20D79"/>
    <w:rsid w:val="00C21DFF"/>
    <w:rsid w:val="00C225D2"/>
    <w:rsid w:val="00C2289C"/>
    <w:rsid w:val="00C23366"/>
    <w:rsid w:val="00C23723"/>
    <w:rsid w:val="00C237D0"/>
    <w:rsid w:val="00C2519F"/>
    <w:rsid w:val="00C32240"/>
    <w:rsid w:val="00C3266D"/>
    <w:rsid w:val="00C32CF1"/>
    <w:rsid w:val="00C36E93"/>
    <w:rsid w:val="00C36E99"/>
    <w:rsid w:val="00C42074"/>
    <w:rsid w:val="00C42803"/>
    <w:rsid w:val="00C43F22"/>
    <w:rsid w:val="00C447B5"/>
    <w:rsid w:val="00C44B21"/>
    <w:rsid w:val="00C44B26"/>
    <w:rsid w:val="00C4542E"/>
    <w:rsid w:val="00C47A47"/>
    <w:rsid w:val="00C54201"/>
    <w:rsid w:val="00C54B3B"/>
    <w:rsid w:val="00C56E1F"/>
    <w:rsid w:val="00C5706F"/>
    <w:rsid w:val="00C5741C"/>
    <w:rsid w:val="00C57932"/>
    <w:rsid w:val="00C605D2"/>
    <w:rsid w:val="00C60728"/>
    <w:rsid w:val="00C60B2E"/>
    <w:rsid w:val="00C614BD"/>
    <w:rsid w:val="00C633EF"/>
    <w:rsid w:val="00C651CF"/>
    <w:rsid w:val="00C65B17"/>
    <w:rsid w:val="00C6627F"/>
    <w:rsid w:val="00C71762"/>
    <w:rsid w:val="00C72366"/>
    <w:rsid w:val="00C72D83"/>
    <w:rsid w:val="00C74121"/>
    <w:rsid w:val="00C74CE2"/>
    <w:rsid w:val="00C76C5C"/>
    <w:rsid w:val="00C76F2E"/>
    <w:rsid w:val="00C776DA"/>
    <w:rsid w:val="00C77FF4"/>
    <w:rsid w:val="00C80116"/>
    <w:rsid w:val="00C8137A"/>
    <w:rsid w:val="00C83358"/>
    <w:rsid w:val="00C83835"/>
    <w:rsid w:val="00C839C4"/>
    <w:rsid w:val="00C84C63"/>
    <w:rsid w:val="00C84FEE"/>
    <w:rsid w:val="00C86635"/>
    <w:rsid w:val="00C87F29"/>
    <w:rsid w:val="00C90DE1"/>
    <w:rsid w:val="00C90E08"/>
    <w:rsid w:val="00C92197"/>
    <w:rsid w:val="00C92908"/>
    <w:rsid w:val="00C95530"/>
    <w:rsid w:val="00C958BB"/>
    <w:rsid w:val="00C965E3"/>
    <w:rsid w:val="00C969FB"/>
    <w:rsid w:val="00C97C27"/>
    <w:rsid w:val="00C97D96"/>
    <w:rsid w:val="00CA0094"/>
    <w:rsid w:val="00CA3412"/>
    <w:rsid w:val="00CA5314"/>
    <w:rsid w:val="00CA6CB4"/>
    <w:rsid w:val="00CA6FA5"/>
    <w:rsid w:val="00CA7D3C"/>
    <w:rsid w:val="00CB1A16"/>
    <w:rsid w:val="00CB3100"/>
    <w:rsid w:val="00CB42ED"/>
    <w:rsid w:val="00CB7EC7"/>
    <w:rsid w:val="00CC0DF2"/>
    <w:rsid w:val="00CC1A3F"/>
    <w:rsid w:val="00CC259C"/>
    <w:rsid w:val="00CC3855"/>
    <w:rsid w:val="00CC39AC"/>
    <w:rsid w:val="00CC640D"/>
    <w:rsid w:val="00CC7388"/>
    <w:rsid w:val="00CD182E"/>
    <w:rsid w:val="00CD2592"/>
    <w:rsid w:val="00CD5F5D"/>
    <w:rsid w:val="00CD62D7"/>
    <w:rsid w:val="00CD6501"/>
    <w:rsid w:val="00CE0010"/>
    <w:rsid w:val="00CE08BB"/>
    <w:rsid w:val="00CE1C22"/>
    <w:rsid w:val="00CE2C50"/>
    <w:rsid w:val="00CE3F53"/>
    <w:rsid w:val="00CE6359"/>
    <w:rsid w:val="00CE70C9"/>
    <w:rsid w:val="00CE71AD"/>
    <w:rsid w:val="00CE75F8"/>
    <w:rsid w:val="00CE7B3E"/>
    <w:rsid w:val="00CF178F"/>
    <w:rsid w:val="00CF1F18"/>
    <w:rsid w:val="00CF2A70"/>
    <w:rsid w:val="00CF4C0F"/>
    <w:rsid w:val="00CF6CB4"/>
    <w:rsid w:val="00CF76B1"/>
    <w:rsid w:val="00CF7E3C"/>
    <w:rsid w:val="00CF7FE1"/>
    <w:rsid w:val="00D02A1D"/>
    <w:rsid w:val="00D0399E"/>
    <w:rsid w:val="00D03F09"/>
    <w:rsid w:val="00D04D32"/>
    <w:rsid w:val="00D06A53"/>
    <w:rsid w:val="00D104C9"/>
    <w:rsid w:val="00D1073B"/>
    <w:rsid w:val="00D1248A"/>
    <w:rsid w:val="00D128EB"/>
    <w:rsid w:val="00D146FA"/>
    <w:rsid w:val="00D14736"/>
    <w:rsid w:val="00D17538"/>
    <w:rsid w:val="00D17BF5"/>
    <w:rsid w:val="00D21F0F"/>
    <w:rsid w:val="00D22F01"/>
    <w:rsid w:val="00D23A2C"/>
    <w:rsid w:val="00D25AC2"/>
    <w:rsid w:val="00D31858"/>
    <w:rsid w:val="00D32A66"/>
    <w:rsid w:val="00D33A43"/>
    <w:rsid w:val="00D3628E"/>
    <w:rsid w:val="00D37E63"/>
    <w:rsid w:val="00D40088"/>
    <w:rsid w:val="00D40155"/>
    <w:rsid w:val="00D416B3"/>
    <w:rsid w:val="00D42752"/>
    <w:rsid w:val="00D4280A"/>
    <w:rsid w:val="00D43F6C"/>
    <w:rsid w:val="00D44DAC"/>
    <w:rsid w:val="00D4603C"/>
    <w:rsid w:val="00D462B2"/>
    <w:rsid w:val="00D46A17"/>
    <w:rsid w:val="00D4798C"/>
    <w:rsid w:val="00D501C2"/>
    <w:rsid w:val="00D501F6"/>
    <w:rsid w:val="00D50F4C"/>
    <w:rsid w:val="00D51FB6"/>
    <w:rsid w:val="00D525DB"/>
    <w:rsid w:val="00D54D28"/>
    <w:rsid w:val="00D55A1D"/>
    <w:rsid w:val="00D575F0"/>
    <w:rsid w:val="00D579EF"/>
    <w:rsid w:val="00D601E9"/>
    <w:rsid w:val="00D64D08"/>
    <w:rsid w:val="00D6673B"/>
    <w:rsid w:val="00D66FAF"/>
    <w:rsid w:val="00D66FB3"/>
    <w:rsid w:val="00D71AFF"/>
    <w:rsid w:val="00D72BE8"/>
    <w:rsid w:val="00D74018"/>
    <w:rsid w:val="00D74DBF"/>
    <w:rsid w:val="00D7531D"/>
    <w:rsid w:val="00D75382"/>
    <w:rsid w:val="00D75641"/>
    <w:rsid w:val="00D7622F"/>
    <w:rsid w:val="00D762F8"/>
    <w:rsid w:val="00D7654D"/>
    <w:rsid w:val="00D765EA"/>
    <w:rsid w:val="00D766E7"/>
    <w:rsid w:val="00D767B2"/>
    <w:rsid w:val="00D76E6E"/>
    <w:rsid w:val="00D77E96"/>
    <w:rsid w:val="00D77FF4"/>
    <w:rsid w:val="00D80597"/>
    <w:rsid w:val="00D81AF7"/>
    <w:rsid w:val="00D82D80"/>
    <w:rsid w:val="00D830FF"/>
    <w:rsid w:val="00D832F2"/>
    <w:rsid w:val="00D8772A"/>
    <w:rsid w:val="00D900A8"/>
    <w:rsid w:val="00D91237"/>
    <w:rsid w:val="00D918D2"/>
    <w:rsid w:val="00D92472"/>
    <w:rsid w:val="00D92481"/>
    <w:rsid w:val="00D92AE3"/>
    <w:rsid w:val="00D92F2F"/>
    <w:rsid w:val="00D93025"/>
    <w:rsid w:val="00D95A42"/>
    <w:rsid w:val="00D95A89"/>
    <w:rsid w:val="00D962E5"/>
    <w:rsid w:val="00D96A92"/>
    <w:rsid w:val="00D96E92"/>
    <w:rsid w:val="00D97BE2"/>
    <w:rsid w:val="00DA09B8"/>
    <w:rsid w:val="00DA17D2"/>
    <w:rsid w:val="00DA2AFC"/>
    <w:rsid w:val="00DA3112"/>
    <w:rsid w:val="00DA462C"/>
    <w:rsid w:val="00DA5B29"/>
    <w:rsid w:val="00DA5CC8"/>
    <w:rsid w:val="00DA6841"/>
    <w:rsid w:val="00DB178D"/>
    <w:rsid w:val="00DB4457"/>
    <w:rsid w:val="00DB569F"/>
    <w:rsid w:val="00DB59D8"/>
    <w:rsid w:val="00DB5E3C"/>
    <w:rsid w:val="00DB647A"/>
    <w:rsid w:val="00DC0B53"/>
    <w:rsid w:val="00DC3CFF"/>
    <w:rsid w:val="00DC4012"/>
    <w:rsid w:val="00DC5F3E"/>
    <w:rsid w:val="00DC78B5"/>
    <w:rsid w:val="00DD1183"/>
    <w:rsid w:val="00DD1C44"/>
    <w:rsid w:val="00DD34CB"/>
    <w:rsid w:val="00DD47C1"/>
    <w:rsid w:val="00DD54B9"/>
    <w:rsid w:val="00DD6215"/>
    <w:rsid w:val="00DE037F"/>
    <w:rsid w:val="00DE0542"/>
    <w:rsid w:val="00DE0FFD"/>
    <w:rsid w:val="00DE100D"/>
    <w:rsid w:val="00DE1734"/>
    <w:rsid w:val="00DE2AD0"/>
    <w:rsid w:val="00DE34DF"/>
    <w:rsid w:val="00DE61F6"/>
    <w:rsid w:val="00DE6824"/>
    <w:rsid w:val="00DE6953"/>
    <w:rsid w:val="00DE7250"/>
    <w:rsid w:val="00DF2172"/>
    <w:rsid w:val="00DF231E"/>
    <w:rsid w:val="00DF4372"/>
    <w:rsid w:val="00DF57B5"/>
    <w:rsid w:val="00DF6773"/>
    <w:rsid w:val="00DF6D5B"/>
    <w:rsid w:val="00DF71C3"/>
    <w:rsid w:val="00E0176F"/>
    <w:rsid w:val="00E02134"/>
    <w:rsid w:val="00E03270"/>
    <w:rsid w:val="00E07ADB"/>
    <w:rsid w:val="00E12E31"/>
    <w:rsid w:val="00E13621"/>
    <w:rsid w:val="00E13DE3"/>
    <w:rsid w:val="00E147AD"/>
    <w:rsid w:val="00E14D8E"/>
    <w:rsid w:val="00E17836"/>
    <w:rsid w:val="00E17C44"/>
    <w:rsid w:val="00E202E9"/>
    <w:rsid w:val="00E222ED"/>
    <w:rsid w:val="00E233B2"/>
    <w:rsid w:val="00E245C6"/>
    <w:rsid w:val="00E2496D"/>
    <w:rsid w:val="00E24A4E"/>
    <w:rsid w:val="00E25390"/>
    <w:rsid w:val="00E265C3"/>
    <w:rsid w:val="00E3133D"/>
    <w:rsid w:val="00E329CB"/>
    <w:rsid w:val="00E32A3E"/>
    <w:rsid w:val="00E32DBE"/>
    <w:rsid w:val="00E338B1"/>
    <w:rsid w:val="00E3461A"/>
    <w:rsid w:val="00E34A0E"/>
    <w:rsid w:val="00E354D8"/>
    <w:rsid w:val="00E366A0"/>
    <w:rsid w:val="00E3699B"/>
    <w:rsid w:val="00E37420"/>
    <w:rsid w:val="00E4261A"/>
    <w:rsid w:val="00E43396"/>
    <w:rsid w:val="00E44806"/>
    <w:rsid w:val="00E44F88"/>
    <w:rsid w:val="00E51A44"/>
    <w:rsid w:val="00E51DDE"/>
    <w:rsid w:val="00E5347C"/>
    <w:rsid w:val="00E55F9A"/>
    <w:rsid w:val="00E57C0A"/>
    <w:rsid w:val="00E57F40"/>
    <w:rsid w:val="00E601D4"/>
    <w:rsid w:val="00E602F7"/>
    <w:rsid w:val="00E65662"/>
    <w:rsid w:val="00E67E66"/>
    <w:rsid w:val="00E710F6"/>
    <w:rsid w:val="00E71D3E"/>
    <w:rsid w:val="00E73F3A"/>
    <w:rsid w:val="00E7476A"/>
    <w:rsid w:val="00E752D4"/>
    <w:rsid w:val="00E80963"/>
    <w:rsid w:val="00E82118"/>
    <w:rsid w:val="00E822D4"/>
    <w:rsid w:val="00E825CA"/>
    <w:rsid w:val="00E828F4"/>
    <w:rsid w:val="00E861AD"/>
    <w:rsid w:val="00E9061B"/>
    <w:rsid w:val="00E91134"/>
    <w:rsid w:val="00E9267D"/>
    <w:rsid w:val="00E93B79"/>
    <w:rsid w:val="00E93F91"/>
    <w:rsid w:val="00E9413F"/>
    <w:rsid w:val="00E94D26"/>
    <w:rsid w:val="00E94DCB"/>
    <w:rsid w:val="00E954F3"/>
    <w:rsid w:val="00E95F38"/>
    <w:rsid w:val="00E9621E"/>
    <w:rsid w:val="00E9658D"/>
    <w:rsid w:val="00E96AEB"/>
    <w:rsid w:val="00EA005B"/>
    <w:rsid w:val="00EA18C8"/>
    <w:rsid w:val="00EA1BB7"/>
    <w:rsid w:val="00EA32DE"/>
    <w:rsid w:val="00EA6E3B"/>
    <w:rsid w:val="00EA7FF9"/>
    <w:rsid w:val="00EB11AF"/>
    <w:rsid w:val="00EB21B5"/>
    <w:rsid w:val="00EB2D0B"/>
    <w:rsid w:val="00EB2DAA"/>
    <w:rsid w:val="00EB3071"/>
    <w:rsid w:val="00EB594B"/>
    <w:rsid w:val="00EC60BA"/>
    <w:rsid w:val="00EC64FA"/>
    <w:rsid w:val="00EC668E"/>
    <w:rsid w:val="00EC7B59"/>
    <w:rsid w:val="00ED023F"/>
    <w:rsid w:val="00ED10B5"/>
    <w:rsid w:val="00ED18CC"/>
    <w:rsid w:val="00ED25B7"/>
    <w:rsid w:val="00ED2DA7"/>
    <w:rsid w:val="00ED5E91"/>
    <w:rsid w:val="00ED69C4"/>
    <w:rsid w:val="00EE0ED7"/>
    <w:rsid w:val="00EE1364"/>
    <w:rsid w:val="00EE19ED"/>
    <w:rsid w:val="00EE1B9E"/>
    <w:rsid w:val="00EE21AE"/>
    <w:rsid w:val="00EE2307"/>
    <w:rsid w:val="00EE2D05"/>
    <w:rsid w:val="00EE2F08"/>
    <w:rsid w:val="00EE50BE"/>
    <w:rsid w:val="00EE7546"/>
    <w:rsid w:val="00EE7C16"/>
    <w:rsid w:val="00EF0ECE"/>
    <w:rsid w:val="00EF1077"/>
    <w:rsid w:val="00EF3447"/>
    <w:rsid w:val="00EF3470"/>
    <w:rsid w:val="00EF3CD4"/>
    <w:rsid w:val="00EF49F4"/>
    <w:rsid w:val="00EF4F11"/>
    <w:rsid w:val="00EF57E1"/>
    <w:rsid w:val="00EF6142"/>
    <w:rsid w:val="00F00C50"/>
    <w:rsid w:val="00F03593"/>
    <w:rsid w:val="00F03C01"/>
    <w:rsid w:val="00F04D8F"/>
    <w:rsid w:val="00F0511A"/>
    <w:rsid w:val="00F06031"/>
    <w:rsid w:val="00F06A62"/>
    <w:rsid w:val="00F07672"/>
    <w:rsid w:val="00F1416F"/>
    <w:rsid w:val="00F14507"/>
    <w:rsid w:val="00F16785"/>
    <w:rsid w:val="00F21D22"/>
    <w:rsid w:val="00F2428D"/>
    <w:rsid w:val="00F24295"/>
    <w:rsid w:val="00F249D3"/>
    <w:rsid w:val="00F30163"/>
    <w:rsid w:val="00F30534"/>
    <w:rsid w:val="00F3121C"/>
    <w:rsid w:val="00F3281A"/>
    <w:rsid w:val="00F32A66"/>
    <w:rsid w:val="00F3347E"/>
    <w:rsid w:val="00F33C74"/>
    <w:rsid w:val="00F37371"/>
    <w:rsid w:val="00F37E2A"/>
    <w:rsid w:val="00F37EB5"/>
    <w:rsid w:val="00F408AA"/>
    <w:rsid w:val="00F41DF5"/>
    <w:rsid w:val="00F43D48"/>
    <w:rsid w:val="00F44A5F"/>
    <w:rsid w:val="00F456B6"/>
    <w:rsid w:val="00F460EB"/>
    <w:rsid w:val="00F46551"/>
    <w:rsid w:val="00F517A5"/>
    <w:rsid w:val="00F53386"/>
    <w:rsid w:val="00F54727"/>
    <w:rsid w:val="00F57B2F"/>
    <w:rsid w:val="00F607D2"/>
    <w:rsid w:val="00F6224C"/>
    <w:rsid w:val="00F6314A"/>
    <w:rsid w:val="00F64E20"/>
    <w:rsid w:val="00F666FA"/>
    <w:rsid w:val="00F71093"/>
    <w:rsid w:val="00F71711"/>
    <w:rsid w:val="00F729A0"/>
    <w:rsid w:val="00F72EA4"/>
    <w:rsid w:val="00F73148"/>
    <w:rsid w:val="00F73DA2"/>
    <w:rsid w:val="00F75D2B"/>
    <w:rsid w:val="00F76297"/>
    <w:rsid w:val="00F76B13"/>
    <w:rsid w:val="00F76CC0"/>
    <w:rsid w:val="00F77052"/>
    <w:rsid w:val="00F774F1"/>
    <w:rsid w:val="00F775C2"/>
    <w:rsid w:val="00F80C9B"/>
    <w:rsid w:val="00F83D84"/>
    <w:rsid w:val="00F83DB8"/>
    <w:rsid w:val="00F846CC"/>
    <w:rsid w:val="00F8532D"/>
    <w:rsid w:val="00F90642"/>
    <w:rsid w:val="00F92D05"/>
    <w:rsid w:val="00F95751"/>
    <w:rsid w:val="00F95C2D"/>
    <w:rsid w:val="00F9604C"/>
    <w:rsid w:val="00FA129C"/>
    <w:rsid w:val="00FA1E6F"/>
    <w:rsid w:val="00FA2DE9"/>
    <w:rsid w:val="00FA325D"/>
    <w:rsid w:val="00FA36A2"/>
    <w:rsid w:val="00FA400D"/>
    <w:rsid w:val="00FA5A8E"/>
    <w:rsid w:val="00FA6646"/>
    <w:rsid w:val="00FA715B"/>
    <w:rsid w:val="00FA7DE8"/>
    <w:rsid w:val="00FA7F74"/>
    <w:rsid w:val="00FB0537"/>
    <w:rsid w:val="00FB06CC"/>
    <w:rsid w:val="00FB11F4"/>
    <w:rsid w:val="00FB172C"/>
    <w:rsid w:val="00FB1914"/>
    <w:rsid w:val="00FB33B0"/>
    <w:rsid w:val="00FB42E2"/>
    <w:rsid w:val="00FB43A0"/>
    <w:rsid w:val="00FB69DA"/>
    <w:rsid w:val="00FC00FF"/>
    <w:rsid w:val="00FC03AD"/>
    <w:rsid w:val="00FC25EE"/>
    <w:rsid w:val="00FC27E7"/>
    <w:rsid w:val="00FC7F1C"/>
    <w:rsid w:val="00FD023E"/>
    <w:rsid w:val="00FD0EC7"/>
    <w:rsid w:val="00FD0EF9"/>
    <w:rsid w:val="00FD1335"/>
    <w:rsid w:val="00FD407D"/>
    <w:rsid w:val="00FD6FAC"/>
    <w:rsid w:val="00FD7BB0"/>
    <w:rsid w:val="00FE0CD2"/>
    <w:rsid w:val="00FE13CC"/>
    <w:rsid w:val="00FE1D8A"/>
    <w:rsid w:val="00FE35FC"/>
    <w:rsid w:val="00FE3783"/>
    <w:rsid w:val="00FE7C2C"/>
    <w:rsid w:val="00FF0DB3"/>
    <w:rsid w:val="00FF12FE"/>
    <w:rsid w:val="00FF16F9"/>
    <w:rsid w:val="00FF4702"/>
    <w:rsid w:val="00FF55B3"/>
    <w:rsid w:val="00FF6DAE"/>
    <w:rsid w:val="00FF74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ee,#f5f5f5,#f9f9f9"/>
    </o:shapedefaults>
    <o:shapelayout v:ext="edit">
      <o:idmap v:ext="edit" data="2"/>
    </o:shapelayout>
  </w:shapeDefaults>
  <w:decimalSymbol w:val="."/>
  <w:listSeparator w:val=","/>
  <w14:docId w14:val="7E36A415"/>
  <w15:chartTrackingRefBased/>
  <w15:docId w15:val="{CDC83762-7EEB-4ACE-8CEE-00E01AF2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DDC"/>
    <w:rPr>
      <w:rFonts w:ascii="Palatino Linotype" w:hAnsi="Palatino Linotype"/>
      <w:sz w:val="18"/>
      <w:lang w:val="en-GB"/>
    </w:rPr>
  </w:style>
  <w:style w:type="paragraph" w:styleId="Heading1">
    <w:name w:val="heading 1"/>
    <w:basedOn w:val="Normal"/>
    <w:next w:val="Normal"/>
    <w:link w:val="Heading1Char"/>
    <w:autoRedefine/>
    <w:uiPriority w:val="9"/>
    <w:qFormat/>
    <w:rsid w:val="00662F11"/>
    <w:pPr>
      <w:keepNext/>
      <w:keepLines/>
      <w:tabs>
        <w:tab w:val="left" w:pos="1350"/>
      </w:tabs>
      <w:spacing w:before="150" w:after="150" w:line="276" w:lineRule="auto"/>
      <w:outlineLvl w:val="0"/>
    </w:pPr>
    <w:rPr>
      <w:rFonts w:ascii="Plantagenet Cherokee" w:hAnsi="Plantagenet Cherokee" w:cstheme="majorBidi"/>
      <w:b/>
      <w:bCs/>
      <w:iCs/>
      <w:caps/>
      <w:color w:val="0B769F" w:themeColor="accent4" w:themeShade="BF"/>
      <w:sz w:val="24"/>
      <w:lang w:val="en-US"/>
    </w:rPr>
  </w:style>
  <w:style w:type="paragraph" w:styleId="Heading2">
    <w:name w:val="heading 2"/>
    <w:basedOn w:val="Normal"/>
    <w:next w:val="Normal"/>
    <w:link w:val="Heading2Char"/>
    <w:uiPriority w:val="9"/>
    <w:unhideWhenUsed/>
    <w:qFormat/>
    <w:rsid w:val="004C0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3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3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3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F11"/>
    <w:rPr>
      <w:rFonts w:ascii="Plantagenet Cherokee" w:hAnsi="Plantagenet Cherokee" w:cstheme="majorBidi"/>
      <w:b/>
      <w:bCs/>
      <w:iCs/>
      <w:caps/>
      <w:color w:val="0B769F" w:themeColor="accent4" w:themeShade="BF"/>
      <w:sz w:val="24"/>
    </w:rPr>
  </w:style>
  <w:style w:type="character" w:customStyle="1" w:styleId="Heading2Char">
    <w:name w:val="Heading 2 Char"/>
    <w:basedOn w:val="DefaultParagraphFont"/>
    <w:link w:val="Heading2"/>
    <w:uiPriority w:val="9"/>
    <w:rsid w:val="004C035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4C035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C035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C035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C035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C035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C035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C035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D6204"/>
    <w:pPr>
      <w:spacing w:after="0" w:line="240" w:lineRule="auto"/>
    </w:pPr>
    <w:rPr>
      <w:rFonts w:ascii="Minion Pro SmBd" w:hAnsi="Minion Pro SmBd" w:cstheme="majorBidi"/>
      <w:b/>
      <w:bCs/>
      <w:color w:val="007370"/>
      <w:sz w:val="40"/>
      <w:szCs w:val="40"/>
      <w:lang w:val="en-US"/>
    </w:rPr>
  </w:style>
  <w:style w:type="character" w:customStyle="1" w:styleId="TitleChar">
    <w:name w:val="Title Char"/>
    <w:basedOn w:val="DefaultParagraphFont"/>
    <w:link w:val="Title"/>
    <w:uiPriority w:val="10"/>
    <w:rsid w:val="00BD6204"/>
    <w:rPr>
      <w:rFonts w:ascii="Minion Pro SmBd" w:hAnsi="Minion Pro SmBd" w:cstheme="majorBidi"/>
      <w:b/>
      <w:bCs/>
      <w:color w:val="007370"/>
      <w:sz w:val="40"/>
      <w:szCs w:val="40"/>
    </w:rPr>
  </w:style>
  <w:style w:type="paragraph" w:styleId="Subtitle">
    <w:name w:val="Subtitle"/>
    <w:basedOn w:val="Normal"/>
    <w:next w:val="Normal"/>
    <w:link w:val="SubtitleChar"/>
    <w:uiPriority w:val="11"/>
    <w:qFormat/>
    <w:rsid w:val="004C0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35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C035B"/>
    <w:pPr>
      <w:spacing w:before="160"/>
      <w:jc w:val="center"/>
    </w:pPr>
    <w:rPr>
      <w:i/>
      <w:iCs/>
      <w:color w:val="404040" w:themeColor="text1" w:themeTint="BF"/>
    </w:rPr>
  </w:style>
  <w:style w:type="character" w:customStyle="1" w:styleId="QuoteChar">
    <w:name w:val="Quote Char"/>
    <w:basedOn w:val="DefaultParagraphFont"/>
    <w:link w:val="Quote"/>
    <w:uiPriority w:val="29"/>
    <w:rsid w:val="004C035B"/>
    <w:rPr>
      <w:i/>
      <w:iCs/>
      <w:color w:val="404040" w:themeColor="text1" w:themeTint="BF"/>
      <w:lang w:val="en-GB"/>
    </w:rPr>
  </w:style>
  <w:style w:type="paragraph" w:styleId="ListParagraph">
    <w:name w:val="List Paragraph"/>
    <w:basedOn w:val="Normal"/>
    <w:uiPriority w:val="34"/>
    <w:qFormat/>
    <w:rsid w:val="004C035B"/>
    <w:pPr>
      <w:ind w:left="720"/>
      <w:contextualSpacing/>
    </w:pPr>
  </w:style>
  <w:style w:type="character" w:styleId="IntenseEmphasis">
    <w:name w:val="Intense Emphasis"/>
    <w:basedOn w:val="DefaultParagraphFont"/>
    <w:uiPriority w:val="21"/>
    <w:qFormat/>
    <w:rsid w:val="004C035B"/>
    <w:rPr>
      <w:i/>
      <w:iCs/>
      <w:color w:val="0F4761" w:themeColor="accent1" w:themeShade="BF"/>
    </w:rPr>
  </w:style>
  <w:style w:type="paragraph" w:styleId="IntenseQuote">
    <w:name w:val="Intense Quote"/>
    <w:basedOn w:val="Normal"/>
    <w:next w:val="Normal"/>
    <w:link w:val="IntenseQuoteChar"/>
    <w:uiPriority w:val="30"/>
    <w:qFormat/>
    <w:rsid w:val="004C0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35B"/>
    <w:rPr>
      <w:i/>
      <w:iCs/>
      <w:color w:val="0F4761" w:themeColor="accent1" w:themeShade="BF"/>
      <w:lang w:val="en-GB"/>
    </w:rPr>
  </w:style>
  <w:style w:type="character" w:styleId="IntenseReference">
    <w:name w:val="Intense Reference"/>
    <w:basedOn w:val="DefaultParagraphFont"/>
    <w:uiPriority w:val="32"/>
    <w:qFormat/>
    <w:rsid w:val="004C035B"/>
    <w:rPr>
      <w:b/>
      <w:bCs/>
      <w:smallCaps/>
      <w:color w:val="0F4761" w:themeColor="accent1" w:themeShade="BF"/>
      <w:spacing w:val="5"/>
    </w:rPr>
  </w:style>
  <w:style w:type="character" w:styleId="Hyperlink">
    <w:name w:val="Hyperlink"/>
    <w:basedOn w:val="DefaultParagraphFont"/>
    <w:uiPriority w:val="99"/>
    <w:unhideWhenUsed/>
    <w:rsid w:val="004C035B"/>
    <w:rPr>
      <w:color w:val="467886" w:themeColor="hyperlink"/>
      <w:u w:val="single"/>
    </w:rPr>
  </w:style>
  <w:style w:type="paragraph" w:styleId="NoSpacing">
    <w:name w:val="No Spacing"/>
    <w:link w:val="NoSpacingChar"/>
    <w:uiPriority w:val="1"/>
    <w:qFormat/>
    <w:rsid w:val="004C035B"/>
    <w:pPr>
      <w:spacing w:after="0" w:line="240" w:lineRule="auto"/>
    </w:pPr>
    <w:rPr>
      <w:lang w:val="en-GB"/>
    </w:rPr>
  </w:style>
  <w:style w:type="character" w:styleId="UnresolvedMention">
    <w:name w:val="Unresolved Mention"/>
    <w:basedOn w:val="DefaultParagraphFont"/>
    <w:uiPriority w:val="99"/>
    <w:semiHidden/>
    <w:unhideWhenUsed/>
    <w:rsid w:val="004C035B"/>
    <w:rPr>
      <w:color w:val="605E5C"/>
      <w:shd w:val="clear" w:color="auto" w:fill="E1DFDD"/>
    </w:rPr>
  </w:style>
  <w:style w:type="character" w:styleId="FollowedHyperlink">
    <w:name w:val="FollowedHyperlink"/>
    <w:basedOn w:val="DefaultParagraphFont"/>
    <w:uiPriority w:val="99"/>
    <w:semiHidden/>
    <w:unhideWhenUsed/>
    <w:rsid w:val="00092B1C"/>
    <w:rPr>
      <w:color w:val="96607D" w:themeColor="followedHyperlink"/>
      <w:u w:val="single"/>
    </w:rPr>
  </w:style>
  <w:style w:type="table" w:styleId="TableGrid">
    <w:name w:val="Table Grid"/>
    <w:basedOn w:val="TableNormal"/>
    <w:uiPriority w:val="59"/>
    <w:rsid w:val="00DE0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aliases w:val="JHRR"/>
    <w:basedOn w:val="TableNormal"/>
    <w:uiPriority w:val="46"/>
    <w:rsid w:val="00922922"/>
    <w:pPr>
      <w:spacing w:after="0" w:line="240" w:lineRule="auto"/>
      <w:jc w:val="center"/>
    </w:pPr>
    <w:rPr>
      <w:rFonts w:ascii="Arial Narrow" w:hAnsi="Arial Narrow"/>
      <w:b/>
      <w:sz w:val="16"/>
    </w:rPr>
    <w:tblPr>
      <w:tblStyleColBandSize w:val="1"/>
      <w:tblBorders>
        <w:bottom w:val="single" w:sz="2" w:space="0" w:color="auto"/>
      </w:tblBorders>
    </w:tblPr>
    <w:tcPr>
      <w:vAlign w:val="center"/>
    </w:tcPr>
    <w:tblStylePr w:type="firstRow">
      <w:rPr>
        <w:rFonts w:ascii="Palatino Linotype" w:hAnsi="Palatino Linotype"/>
        <w:b/>
        <w:bCs/>
        <w:color w:val="000000" w:themeColor="text1"/>
        <w:sz w:val="20"/>
      </w:rPr>
      <w:tblPr/>
      <w:tcPr>
        <w:tcBorders>
          <w:top w:val="single" w:sz="2" w:space="0" w:color="auto"/>
          <w:bottom w:val="single" w:sz="2" w:space="0" w:color="auto"/>
        </w:tcBorders>
      </w:tcPr>
    </w:tblStylePr>
    <w:tblStylePr w:type="lastRow">
      <w:rPr>
        <w:rFonts w:ascii="Palatino Linotype" w:hAnsi="Palatino Linotype"/>
        <w:b w:val="0"/>
        <w:bCs/>
      </w:rPr>
      <w:tblPr/>
      <w:tcPr>
        <w:tcBorders>
          <w:top w:val="nil"/>
        </w:tcBorders>
      </w:tcPr>
    </w:tblStylePr>
    <w:tblStylePr w:type="firstCol">
      <w:rPr>
        <w:b/>
        <w:bCs/>
      </w:rPr>
    </w:tblStylePr>
    <w:tblStylePr w:type="lastCol">
      <w:rPr>
        <w:b w:val="0"/>
        <w:bCs/>
      </w:r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tblStylePr w:type="swCell">
      <w:rPr>
        <w:b/>
      </w:rPr>
    </w:tblStylePr>
  </w:style>
  <w:style w:type="paragraph" w:customStyle="1" w:styleId="Body">
    <w:name w:val="Body"/>
    <w:basedOn w:val="Normal"/>
    <w:link w:val="BodyChar"/>
    <w:qFormat/>
    <w:rsid w:val="00AD00B5"/>
    <w:pPr>
      <w:spacing w:after="165" w:line="276" w:lineRule="auto"/>
      <w:jc w:val="both"/>
    </w:pPr>
    <w:rPr>
      <w:rFonts w:ascii="Plantagenet Cherokee" w:hAnsi="Plantagenet Cherokee" w:cs="Arial"/>
      <w:sz w:val="20"/>
      <w:szCs w:val="18"/>
      <w:lang w:val="en-US"/>
    </w:rPr>
  </w:style>
  <w:style w:type="character" w:customStyle="1" w:styleId="BodyChar">
    <w:name w:val="Body Char"/>
    <w:basedOn w:val="DefaultParagraphFont"/>
    <w:link w:val="Body"/>
    <w:rsid w:val="00AD00B5"/>
    <w:rPr>
      <w:rFonts w:ascii="Plantagenet Cherokee" w:hAnsi="Plantagenet Cherokee" w:cs="Arial"/>
      <w:sz w:val="20"/>
      <w:szCs w:val="18"/>
    </w:rPr>
  </w:style>
  <w:style w:type="table" w:styleId="GridTable1Light-Accent1">
    <w:name w:val="Grid Table 1 Light Accent 1"/>
    <w:basedOn w:val="TableNormal"/>
    <w:uiPriority w:val="46"/>
    <w:rsid w:val="00DE0FFD"/>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DE0F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eferences">
    <w:name w:val="References"/>
    <w:link w:val="ReferencesChar"/>
    <w:qFormat/>
    <w:rsid w:val="0022392C"/>
    <w:pPr>
      <w:numPr>
        <w:numId w:val="1"/>
      </w:numPr>
      <w:spacing w:line="276" w:lineRule="auto"/>
      <w:jc w:val="both"/>
    </w:pPr>
    <w:rPr>
      <w:rFonts w:ascii="Barlow" w:hAnsi="Barlow"/>
      <w:sz w:val="18"/>
      <w:szCs w:val="18"/>
      <w:lang w:val="en-GB"/>
    </w:rPr>
  </w:style>
  <w:style w:type="character" w:customStyle="1" w:styleId="ReferencesChar">
    <w:name w:val="References Char"/>
    <w:basedOn w:val="DefaultParagraphFont"/>
    <w:link w:val="References"/>
    <w:rsid w:val="0022392C"/>
    <w:rPr>
      <w:rFonts w:ascii="Barlow" w:hAnsi="Barlow"/>
      <w:sz w:val="18"/>
      <w:szCs w:val="18"/>
      <w:lang w:val="en-GB"/>
    </w:rPr>
  </w:style>
  <w:style w:type="paragraph" w:styleId="Header">
    <w:name w:val="header"/>
    <w:basedOn w:val="Normal"/>
    <w:link w:val="HeaderChar"/>
    <w:uiPriority w:val="99"/>
    <w:unhideWhenUsed/>
    <w:rsid w:val="00514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6DA"/>
    <w:rPr>
      <w:lang w:val="en-GB"/>
    </w:rPr>
  </w:style>
  <w:style w:type="paragraph" w:styleId="Footer">
    <w:name w:val="footer"/>
    <w:basedOn w:val="Normal"/>
    <w:link w:val="FooterChar"/>
    <w:uiPriority w:val="99"/>
    <w:unhideWhenUsed/>
    <w:rsid w:val="00514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6DA"/>
    <w:rPr>
      <w:lang w:val="en-GB"/>
    </w:rPr>
  </w:style>
  <w:style w:type="paragraph" w:styleId="Caption">
    <w:name w:val="caption"/>
    <w:basedOn w:val="Normal"/>
    <w:next w:val="Normal"/>
    <w:uiPriority w:val="35"/>
    <w:unhideWhenUsed/>
    <w:qFormat/>
    <w:rsid w:val="00662F11"/>
    <w:pPr>
      <w:spacing w:before="240" w:after="100" w:line="276" w:lineRule="auto"/>
    </w:pPr>
    <w:rPr>
      <w:rFonts w:ascii="Plantagenet Cherokee" w:hAnsi="Plantagenet Cherokee" w:cs="Calibri"/>
      <w:b/>
      <w:i/>
      <w:color w:val="0B769F" w:themeColor="accent4" w:themeShade="BF"/>
      <w:sz w:val="16"/>
      <w:szCs w:val="14"/>
    </w:rPr>
  </w:style>
  <w:style w:type="character" w:styleId="Strong">
    <w:name w:val="Strong"/>
    <w:basedOn w:val="DefaultParagraphFont"/>
    <w:uiPriority w:val="22"/>
    <w:qFormat/>
    <w:rsid w:val="002D5DB5"/>
    <w:rPr>
      <w:b/>
      <w:bCs/>
    </w:rPr>
  </w:style>
  <w:style w:type="paragraph" w:styleId="NormalWeb">
    <w:name w:val="Normal (Web)"/>
    <w:basedOn w:val="Normal"/>
    <w:uiPriority w:val="99"/>
    <w:unhideWhenUsed/>
    <w:rsid w:val="002D5DB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2D5DB5"/>
    <w:rPr>
      <w:i/>
      <w:iCs/>
    </w:rPr>
  </w:style>
  <w:style w:type="table" w:customStyle="1" w:styleId="LMJ">
    <w:name w:val="LMJ"/>
    <w:basedOn w:val="TableNormal"/>
    <w:uiPriority w:val="99"/>
    <w:rsid w:val="008629A6"/>
    <w:pPr>
      <w:spacing w:before="120" w:after="120" w:line="240" w:lineRule="auto"/>
    </w:pPr>
    <w:rPr>
      <w:rFonts w:ascii="Minion Pro" w:hAnsi="Minion Pro"/>
      <w:color w:val="000000" w:themeColor="text1"/>
      <w:sz w:val="16"/>
      <w14:textFill>
        <w14:gradFill>
          <w14:gsLst>
            <w14:gs w14:pos="0">
              <w14:schemeClr w14:val="tx1"/>
            </w14:gs>
            <w14:gs w14:pos="40000">
              <w14:srgbClr w14:val="004846"/>
            </w14:gs>
            <w14:gs w14:pos="68000">
              <w14:srgbClr w14:val="002A29"/>
            </w14:gs>
            <w14:gs w14:pos="100000">
              <w14:srgbClr w14:val="007370"/>
            </w14:gs>
          </w14:gsLst>
          <w14:lin w14:ang="2700000" w14:scaled="0"/>
        </w14:gradFill>
      </w14:textFill>
    </w:rPr>
    <w:tblPr>
      <w:tblStyleRowBandSize w:val="1"/>
      <w:tblStyleColBandSize w:val="1"/>
      <w:tblBorders>
        <w:bottom w:val="single" w:sz="4" w:space="0" w:color="000000" w:themeColor="text1"/>
      </w:tblBorders>
    </w:tblPr>
    <w:tcPr>
      <w:shd w:val="clear" w:color="auto" w:fill="auto"/>
    </w:tcPr>
    <w:tblStylePr w:type="firstRow">
      <w:pPr>
        <w:jc w:val="left"/>
      </w:pPr>
      <w:rPr>
        <w:rFonts w:ascii="Bahnschrift Light SemiCondensed" w:hAnsi="Bahnschrift Light SemiCondensed"/>
        <w:b/>
        <w:color w:val="000000" w:themeColor="text1"/>
        <w:sz w:val="16"/>
        <w14:textFill>
          <w14:solidFill>
            <w14:schemeClr w14:val="tx1"/>
          </w14:solidFill>
        </w14:textFill>
      </w:rPr>
      <w:tblPr/>
      <w:tcPr>
        <w:tcBorders>
          <w:top w:val="single" w:sz="2" w:space="0" w:color="004846"/>
          <w:bottom w:val="single" w:sz="2" w:space="0" w:color="004846"/>
        </w:tcBorders>
        <w:shd w:val="clear" w:color="auto" w:fill="auto"/>
      </w:tcPr>
    </w:tblStylePr>
    <w:tblStylePr w:type="lastRow">
      <w:rPr>
        <w:rFonts w:ascii="Bahnschrift Light SemiCondensed" w:hAnsi="Bahnschrift Light SemiCondensed"/>
        <w:color w:val="000000" w:themeColor="text1"/>
        <w:sz w:val="16"/>
      </w:rPr>
    </w:tblStylePr>
    <w:tblStylePr w:type="firstCol">
      <w:pPr>
        <w:jc w:val="left"/>
      </w:pPr>
      <w:rPr>
        <w:rFonts w:ascii="Bahnschrift Light SemiCondensed" w:hAnsi="Bahnschrift Light SemiCondensed"/>
        <w:b/>
        <w:color w:val="000000" w:themeColor="text1"/>
        <w:sz w:val="16"/>
      </w:rPr>
    </w:tblStylePr>
    <w:tblStylePr w:type="lastCol">
      <w:rPr>
        <w:rFonts w:ascii="Bahnschrift Light SemiCondensed" w:hAnsi="Bahnschrift Light SemiCondensed"/>
        <w:color w:val="000000" w:themeColor="text1"/>
        <w:sz w:val="16"/>
      </w:rPr>
    </w:tblStylePr>
    <w:tblStylePr w:type="band1Vert">
      <w:rPr>
        <w:rFonts w:ascii="Bahnschrift Light SemiCondensed" w:hAnsi="Bahnschrift Light SemiCondensed"/>
        <w:color w:val="000000" w:themeColor="text1"/>
        <w:sz w:val="16"/>
      </w:rPr>
    </w:tblStylePr>
    <w:tblStylePr w:type="band2Vert">
      <w:rPr>
        <w:rFonts w:ascii="Bahnschrift Light SemiCondensed" w:hAnsi="Bahnschrift Light SemiCondensed"/>
        <w:color w:val="000000" w:themeColor="text1"/>
        <w:sz w:val="16"/>
      </w:rPr>
    </w:tblStylePr>
    <w:tblStylePr w:type="band1Horz">
      <w:rPr>
        <w:rFonts w:ascii="Bahnschrift Light SemiCondensed" w:hAnsi="Bahnschrift Light SemiCondensed"/>
        <w:color w:val="000000" w:themeColor="text1"/>
        <w:sz w:val="16"/>
      </w:rPr>
    </w:tblStylePr>
    <w:tblStylePr w:type="band2Horz">
      <w:rPr>
        <w:rFonts w:ascii="Bahnschrift Light SemiCondensed" w:hAnsi="Bahnschrift Light SemiCondensed"/>
        <w:color w:val="000000" w:themeColor="text1"/>
        <w:sz w:val="16"/>
      </w:rPr>
    </w:tblStylePr>
  </w:style>
  <w:style w:type="paragraph" w:customStyle="1" w:styleId="Abstract">
    <w:name w:val="Abstract"/>
    <w:basedOn w:val="NoSpacing"/>
    <w:link w:val="AbstractChar"/>
    <w:qFormat/>
    <w:rsid w:val="00B46CE3"/>
    <w:pPr>
      <w:spacing w:line="276" w:lineRule="auto"/>
      <w:jc w:val="both"/>
    </w:pPr>
    <w:rPr>
      <w:rFonts w:ascii="Minion Pro" w:hAnsi="Minion Pro" w:cs="Khmer UI"/>
      <w:i/>
      <w:iCs/>
      <w:sz w:val="16"/>
      <w:szCs w:val="18"/>
    </w:rPr>
  </w:style>
  <w:style w:type="character" w:customStyle="1" w:styleId="NoSpacingChar">
    <w:name w:val="No Spacing Char"/>
    <w:basedOn w:val="DefaultParagraphFont"/>
    <w:link w:val="NoSpacing"/>
    <w:uiPriority w:val="1"/>
    <w:rsid w:val="001677CE"/>
    <w:rPr>
      <w:lang w:val="en-GB"/>
    </w:rPr>
  </w:style>
  <w:style w:type="character" w:customStyle="1" w:styleId="AbstractChar">
    <w:name w:val="Abstract Char"/>
    <w:basedOn w:val="NoSpacingChar"/>
    <w:link w:val="Abstract"/>
    <w:rsid w:val="00B46CE3"/>
    <w:rPr>
      <w:rFonts w:ascii="Minion Pro" w:hAnsi="Minion Pro" w:cs="Khmer UI"/>
      <w:i/>
      <w:iCs/>
      <w:sz w:val="16"/>
      <w:szCs w:val="18"/>
      <w:lang w:val="en-GB"/>
    </w:rPr>
  </w:style>
  <w:style w:type="table" w:styleId="PlainTable5">
    <w:name w:val="Plain Table 5"/>
    <w:basedOn w:val="TableNormal"/>
    <w:uiPriority w:val="45"/>
    <w:rsid w:val="00CE3F5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0820A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F003B"/>
    <w:pPr>
      <w:spacing w:after="0" w:line="240" w:lineRule="auto"/>
    </w:pPr>
    <w:tblPr>
      <w:tblStyleRowBandSize w:val="1"/>
      <w:tblStyleColBandSize w:val="1"/>
      <w:tblBorders>
        <w:top w:val="single" w:sz="4" w:space="0" w:color="EAEAEA"/>
        <w:bottom w:val="single" w:sz="4" w:space="0" w:color="EAEAEA"/>
      </w:tblBorders>
    </w:tblPr>
    <w:tblStylePr w:type="firstRow">
      <w:rPr>
        <w:b/>
        <w:bCs/>
      </w:rPr>
      <w:tblPr/>
      <w:tcPr>
        <w:tcBorders>
          <w:top w:val="single" w:sz="4" w:space="0" w:color="004846"/>
          <w:bottom w:val="nil"/>
        </w:tcBorders>
      </w:tcPr>
    </w:tblStylePr>
    <w:tblStylePr w:type="lastRow">
      <w:rPr>
        <w:b/>
        <w:bCs/>
      </w:rPr>
      <w:tblPr/>
      <w:tcPr>
        <w:tcBorders>
          <w:top w:val="single" w:sz="4" w:space="0" w:color="004846"/>
          <w:bottom w:val="single" w:sz="4" w:space="0" w:color="004846"/>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05C4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05C4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
    <w:name w:val="List Table 6 Colorful"/>
    <w:basedOn w:val="TableNormal"/>
    <w:uiPriority w:val="51"/>
    <w:rsid w:val="007B008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A6627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9F0970"/>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Accent5">
    <w:name w:val="Grid Table 3 Accent 5"/>
    <w:basedOn w:val="TableNormal"/>
    <w:uiPriority w:val="48"/>
    <w:rsid w:val="009F0970"/>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customStyle="1" w:styleId="TableGrid1">
    <w:name w:val="Table Grid1"/>
    <w:basedOn w:val="TableNormal"/>
    <w:next w:val="TableGrid"/>
    <w:uiPriority w:val="39"/>
    <w:rsid w:val="003E52F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D23A2C"/>
    <w:pPr>
      <w:spacing w:after="0" w:line="240" w:lineRule="auto"/>
    </w:pPr>
    <w:rPr>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6197">
      <w:bodyDiv w:val="1"/>
      <w:marLeft w:val="0"/>
      <w:marRight w:val="0"/>
      <w:marTop w:val="0"/>
      <w:marBottom w:val="0"/>
      <w:divBdr>
        <w:top w:val="none" w:sz="0" w:space="0" w:color="auto"/>
        <w:left w:val="none" w:sz="0" w:space="0" w:color="auto"/>
        <w:bottom w:val="none" w:sz="0" w:space="0" w:color="auto"/>
        <w:right w:val="none" w:sz="0" w:space="0" w:color="auto"/>
      </w:divBdr>
    </w:div>
    <w:div w:id="19361219">
      <w:bodyDiv w:val="1"/>
      <w:marLeft w:val="0"/>
      <w:marRight w:val="0"/>
      <w:marTop w:val="0"/>
      <w:marBottom w:val="0"/>
      <w:divBdr>
        <w:top w:val="none" w:sz="0" w:space="0" w:color="auto"/>
        <w:left w:val="none" w:sz="0" w:space="0" w:color="auto"/>
        <w:bottom w:val="none" w:sz="0" w:space="0" w:color="auto"/>
        <w:right w:val="none" w:sz="0" w:space="0" w:color="auto"/>
      </w:divBdr>
    </w:div>
    <w:div w:id="129520680">
      <w:bodyDiv w:val="1"/>
      <w:marLeft w:val="0"/>
      <w:marRight w:val="0"/>
      <w:marTop w:val="0"/>
      <w:marBottom w:val="0"/>
      <w:divBdr>
        <w:top w:val="none" w:sz="0" w:space="0" w:color="auto"/>
        <w:left w:val="none" w:sz="0" w:space="0" w:color="auto"/>
        <w:bottom w:val="none" w:sz="0" w:space="0" w:color="auto"/>
        <w:right w:val="none" w:sz="0" w:space="0" w:color="auto"/>
      </w:divBdr>
    </w:div>
    <w:div w:id="143668701">
      <w:bodyDiv w:val="1"/>
      <w:marLeft w:val="0"/>
      <w:marRight w:val="0"/>
      <w:marTop w:val="0"/>
      <w:marBottom w:val="0"/>
      <w:divBdr>
        <w:top w:val="none" w:sz="0" w:space="0" w:color="auto"/>
        <w:left w:val="none" w:sz="0" w:space="0" w:color="auto"/>
        <w:bottom w:val="none" w:sz="0" w:space="0" w:color="auto"/>
        <w:right w:val="none" w:sz="0" w:space="0" w:color="auto"/>
      </w:divBdr>
    </w:div>
    <w:div w:id="149058619">
      <w:bodyDiv w:val="1"/>
      <w:marLeft w:val="0"/>
      <w:marRight w:val="0"/>
      <w:marTop w:val="0"/>
      <w:marBottom w:val="0"/>
      <w:divBdr>
        <w:top w:val="none" w:sz="0" w:space="0" w:color="auto"/>
        <w:left w:val="none" w:sz="0" w:space="0" w:color="auto"/>
        <w:bottom w:val="none" w:sz="0" w:space="0" w:color="auto"/>
        <w:right w:val="none" w:sz="0" w:space="0" w:color="auto"/>
      </w:divBdr>
      <w:divsChild>
        <w:div w:id="467554083">
          <w:marLeft w:val="0"/>
          <w:marRight w:val="0"/>
          <w:marTop w:val="0"/>
          <w:marBottom w:val="0"/>
          <w:divBdr>
            <w:top w:val="none" w:sz="0" w:space="0" w:color="auto"/>
            <w:left w:val="none" w:sz="0" w:space="0" w:color="auto"/>
            <w:bottom w:val="none" w:sz="0" w:space="0" w:color="auto"/>
            <w:right w:val="none" w:sz="0" w:space="0" w:color="auto"/>
          </w:divBdr>
          <w:divsChild>
            <w:div w:id="1375739450">
              <w:marLeft w:val="0"/>
              <w:marRight w:val="0"/>
              <w:marTop w:val="0"/>
              <w:marBottom w:val="0"/>
              <w:divBdr>
                <w:top w:val="none" w:sz="0" w:space="0" w:color="auto"/>
                <w:left w:val="none" w:sz="0" w:space="0" w:color="auto"/>
                <w:bottom w:val="none" w:sz="0" w:space="0" w:color="auto"/>
                <w:right w:val="none" w:sz="0" w:space="0" w:color="auto"/>
              </w:divBdr>
              <w:divsChild>
                <w:div w:id="1309477080">
                  <w:marLeft w:val="0"/>
                  <w:marRight w:val="0"/>
                  <w:marTop w:val="0"/>
                  <w:marBottom w:val="0"/>
                  <w:divBdr>
                    <w:top w:val="none" w:sz="0" w:space="0" w:color="auto"/>
                    <w:left w:val="none" w:sz="0" w:space="0" w:color="auto"/>
                    <w:bottom w:val="none" w:sz="0" w:space="0" w:color="auto"/>
                    <w:right w:val="none" w:sz="0" w:space="0" w:color="auto"/>
                  </w:divBdr>
                  <w:divsChild>
                    <w:div w:id="1079249562">
                      <w:marLeft w:val="0"/>
                      <w:marRight w:val="0"/>
                      <w:marTop w:val="0"/>
                      <w:marBottom w:val="0"/>
                      <w:divBdr>
                        <w:top w:val="none" w:sz="0" w:space="0" w:color="auto"/>
                        <w:left w:val="none" w:sz="0" w:space="0" w:color="auto"/>
                        <w:bottom w:val="none" w:sz="0" w:space="0" w:color="auto"/>
                        <w:right w:val="none" w:sz="0" w:space="0" w:color="auto"/>
                      </w:divBdr>
                      <w:divsChild>
                        <w:div w:id="1556620699">
                          <w:marLeft w:val="0"/>
                          <w:marRight w:val="0"/>
                          <w:marTop w:val="0"/>
                          <w:marBottom w:val="0"/>
                          <w:divBdr>
                            <w:top w:val="none" w:sz="0" w:space="0" w:color="auto"/>
                            <w:left w:val="none" w:sz="0" w:space="0" w:color="auto"/>
                            <w:bottom w:val="none" w:sz="0" w:space="0" w:color="auto"/>
                            <w:right w:val="none" w:sz="0" w:space="0" w:color="auto"/>
                          </w:divBdr>
                          <w:divsChild>
                            <w:div w:id="1250307091">
                              <w:marLeft w:val="0"/>
                              <w:marRight w:val="0"/>
                              <w:marTop w:val="0"/>
                              <w:marBottom w:val="0"/>
                              <w:divBdr>
                                <w:top w:val="none" w:sz="0" w:space="0" w:color="auto"/>
                                <w:left w:val="none" w:sz="0" w:space="0" w:color="auto"/>
                                <w:bottom w:val="none" w:sz="0" w:space="0" w:color="auto"/>
                                <w:right w:val="none" w:sz="0" w:space="0" w:color="auto"/>
                              </w:divBdr>
                              <w:divsChild>
                                <w:div w:id="151434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39611">
                          <w:marLeft w:val="0"/>
                          <w:marRight w:val="0"/>
                          <w:marTop w:val="0"/>
                          <w:marBottom w:val="0"/>
                          <w:divBdr>
                            <w:top w:val="none" w:sz="0" w:space="0" w:color="auto"/>
                            <w:left w:val="none" w:sz="0" w:space="0" w:color="auto"/>
                            <w:bottom w:val="none" w:sz="0" w:space="0" w:color="auto"/>
                            <w:right w:val="none" w:sz="0" w:space="0" w:color="auto"/>
                          </w:divBdr>
                          <w:divsChild>
                            <w:div w:id="1306010566">
                              <w:marLeft w:val="0"/>
                              <w:marRight w:val="0"/>
                              <w:marTop w:val="0"/>
                              <w:marBottom w:val="0"/>
                              <w:divBdr>
                                <w:top w:val="none" w:sz="0" w:space="0" w:color="auto"/>
                                <w:left w:val="none" w:sz="0" w:space="0" w:color="auto"/>
                                <w:bottom w:val="none" w:sz="0" w:space="0" w:color="auto"/>
                                <w:right w:val="none" w:sz="0" w:space="0" w:color="auto"/>
                              </w:divBdr>
                              <w:divsChild>
                                <w:div w:id="983315542">
                                  <w:marLeft w:val="0"/>
                                  <w:marRight w:val="0"/>
                                  <w:marTop w:val="0"/>
                                  <w:marBottom w:val="0"/>
                                  <w:divBdr>
                                    <w:top w:val="none" w:sz="0" w:space="0" w:color="auto"/>
                                    <w:left w:val="none" w:sz="0" w:space="0" w:color="auto"/>
                                    <w:bottom w:val="none" w:sz="0" w:space="0" w:color="auto"/>
                                    <w:right w:val="none" w:sz="0" w:space="0" w:color="auto"/>
                                  </w:divBdr>
                                  <w:divsChild>
                                    <w:div w:id="184601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54499">
      <w:bodyDiv w:val="1"/>
      <w:marLeft w:val="0"/>
      <w:marRight w:val="0"/>
      <w:marTop w:val="0"/>
      <w:marBottom w:val="0"/>
      <w:divBdr>
        <w:top w:val="none" w:sz="0" w:space="0" w:color="auto"/>
        <w:left w:val="none" w:sz="0" w:space="0" w:color="auto"/>
        <w:bottom w:val="none" w:sz="0" w:space="0" w:color="auto"/>
        <w:right w:val="none" w:sz="0" w:space="0" w:color="auto"/>
      </w:divBdr>
    </w:div>
    <w:div w:id="219757646">
      <w:bodyDiv w:val="1"/>
      <w:marLeft w:val="0"/>
      <w:marRight w:val="0"/>
      <w:marTop w:val="0"/>
      <w:marBottom w:val="0"/>
      <w:divBdr>
        <w:top w:val="none" w:sz="0" w:space="0" w:color="auto"/>
        <w:left w:val="none" w:sz="0" w:space="0" w:color="auto"/>
        <w:bottom w:val="none" w:sz="0" w:space="0" w:color="auto"/>
        <w:right w:val="none" w:sz="0" w:space="0" w:color="auto"/>
      </w:divBdr>
    </w:div>
    <w:div w:id="248925042">
      <w:bodyDiv w:val="1"/>
      <w:marLeft w:val="0"/>
      <w:marRight w:val="0"/>
      <w:marTop w:val="0"/>
      <w:marBottom w:val="0"/>
      <w:divBdr>
        <w:top w:val="none" w:sz="0" w:space="0" w:color="auto"/>
        <w:left w:val="none" w:sz="0" w:space="0" w:color="auto"/>
        <w:bottom w:val="none" w:sz="0" w:space="0" w:color="auto"/>
        <w:right w:val="none" w:sz="0" w:space="0" w:color="auto"/>
      </w:divBdr>
      <w:divsChild>
        <w:div w:id="1608468479">
          <w:marLeft w:val="0"/>
          <w:marRight w:val="0"/>
          <w:marTop w:val="0"/>
          <w:marBottom w:val="0"/>
          <w:divBdr>
            <w:top w:val="none" w:sz="0" w:space="0" w:color="auto"/>
            <w:left w:val="none" w:sz="0" w:space="0" w:color="auto"/>
            <w:bottom w:val="none" w:sz="0" w:space="0" w:color="auto"/>
            <w:right w:val="none" w:sz="0" w:space="0" w:color="auto"/>
          </w:divBdr>
          <w:divsChild>
            <w:div w:id="533425392">
              <w:marLeft w:val="0"/>
              <w:marRight w:val="0"/>
              <w:marTop w:val="0"/>
              <w:marBottom w:val="0"/>
              <w:divBdr>
                <w:top w:val="none" w:sz="0" w:space="0" w:color="auto"/>
                <w:left w:val="none" w:sz="0" w:space="0" w:color="auto"/>
                <w:bottom w:val="none" w:sz="0" w:space="0" w:color="auto"/>
                <w:right w:val="none" w:sz="0" w:space="0" w:color="auto"/>
              </w:divBdr>
              <w:divsChild>
                <w:div w:id="738409063">
                  <w:marLeft w:val="0"/>
                  <w:marRight w:val="0"/>
                  <w:marTop w:val="0"/>
                  <w:marBottom w:val="0"/>
                  <w:divBdr>
                    <w:top w:val="none" w:sz="0" w:space="0" w:color="auto"/>
                    <w:left w:val="none" w:sz="0" w:space="0" w:color="auto"/>
                    <w:bottom w:val="none" w:sz="0" w:space="0" w:color="auto"/>
                    <w:right w:val="none" w:sz="0" w:space="0" w:color="auto"/>
                  </w:divBdr>
                  <w:divsChild>
                    <w:div w:id="583690038">
                      <w:marLeft w:val="0"/>
                      <w:marRight w:val="0"/>
                      <w:marTop w:val="0"/>
                      <w:marBottom w:val="0"/>
                      <w:divBdr>
                        <w:top w:val="none" w:sz="0" w:space="0" w:color="auto"/>
                        <w:left w:val="none" w:sz="0" w:space="0" w:color="auto"/>
                        <w:bottom w:val="none" w:sz="0" w:space="0" w:color="auto"/>
                        <w:right w:val="none" w:sz="0" w:space="0" w:color="auto"/>
                      </w:divBdr>
                      <w:divsChild>
                        <w:div w:id="255014910">
                          <w:marLeft w:val="0"/>
                          <w:marRight w:val="0"/>
                          <w:marTop w:val="0"/>
                          <w:marBottom w:val="0"/>
                          <w:divBdr>
                            <w:top w:val="none" w:sz="0" w:space="0" w:color="auto"/>
                            <w:left w:val="none" w:sz="0" w:space="0" w:color="auto"/>
                            <w:bottom w:val="none" w:sz="0" w:space="0" w:color="auto"/>
                            <w:right w:val="none" w:sz="0" w:space="0" w:color="auto"/>
                          </w:divBdr>
                          <w:divsChild>
                            <w:div w:id="1841120388">
                              <w:marLeft w:val="0"/>
                              <w:marRight w:val="0"/>
                              <w:marTop w:val="0"/>
                              <w:marBottom w:val="0"/>
                              <w:divBdr>
                                <w:top w:val="none" w:sz="0" w:space="0" w:color="auto"/>
                                <w:left w:val="none" w:sz="0" w:space="0" w:color="auto"/>
                                <w:bottom w:val="none" w:sz="0" w:space="0" w:color="auto"/>
                                <w:right w:val="none" w:sz="0" w:space="0" w:color="auto"/>
                              </w:divBdr>
                              <w:divsChild>
                                <w:div w:id="132640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9827">
                          <w:marLeft w:val="0"/>
                          <w:marRight w:val="0"/>
                          <w:marTop w:val="0"/>
                          <w:marBottom w:val="0"/>
                          <w:divBdr>
                            <w:top w:val="none" w:sz="0" w:space="0" w:color="auto"/>
                            <w:left w:val="none" w:sz="0" w:space="0" w:color="auto"/>
                            <w:bottom w:val="none" w:sz="0" w:space="0" w:color="auto"/>
                            <w:right w:val="none" w:sz="0" w:space="0" w:color="auto"/>
                          </w:divBdr>
                          <w:divsChild>
                            <w:div w:id="1418208225">
                              <w:marLeft w:val="0"/>
                              <w:marRight w:val="0"/>
                              <w:marTop w:val="0"/>
                              <w:marBottom w:val="0"/>
                              <w:divBdr>
                                <w:top w:val="none" w:sz="0" w:space="0" w:color="auto"/>
                                <w:left w:val="none" w:sz="0" w:space="0" w:color="auto"/>
                                <w:bottom w:val="none" w:sz="0" w:space="0" w:color="auto"/>
                                <w:right w:val="none" w:sz="0" w:space="0" w:color="auto"/>
                              </w:divBdr>
                              <w:divsChild>
                                <w:div w:id="1063870790">
                                  <w:marLeft w:val="0"/>
                                  <w:marRight w:val="0"/>
                                  <w:marTop w:val="0"/>
                                  <w:marBottom w:val="0"/>
                                  <w:divBdr>
                                    <w:top w:val="none" w:sz="0" w:space="0" w:color="auto"/>
                                    <w:left w:val="none" w:sz="0" w:space="0" w:color="auto"/>
                                    <w:bottom w:val="none" w:sz="0" w:space="0" w:color="auto"/>
                                    <w:right w:val="none" w:sz="0" w:space="0" w:color="auto"/>
                                  </w:divBdr>
                                  <w:divsChild>
                                    <w:div w:id="14331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2031581">
      <w:bodyDiv w:val="1"/>
      <w:marLeft w:val="0"/>
      <w:marRight w:val="0"/>
      <w:marTop w:val="0"/>
      <w:marBottom w:val="0"/>
      <w:divBdr>
        <w:top w:val="none" w:sz="0" w:space="0" w:color="auto"/>
        <w:left w:val="none" w:sz="0" w:space="0" w:color="auto"/>
        <w:bottom w:val="none" w:sz="0" w:space="0" w:color="auto"/>
        <w:right w:val="none" w:sz="0" w:space="0" w:color="auto"/>
      </w:divBdr>
      <w:divsChild>
        <w:div w:id="984624138">
          <w:marLeft w:val="0"/>
          <w:marRight w:val="0"/>
          <w:marTop w:val="0"/>
          <w:marBottom w:val="0"/>
          <w:divBdr>
            <w:top w:val="none" w:sz="0" w:space="0" w:color="auto"/>
            <w:left w:val="none" w:sz="0" w:space="0" w:color="auto"/>
            <w:bottom w:val="none" w:sz="0" w:space="0" w:color="auto"/>
            <w:right w:val="none" w:sz="0" w:space="0" w:color="auto"/>
          </w:divBdr>
          <w:divsChild>
            <w:div w:id="854658868">
              <w:marLeft w:val="0"/>
              <w:marRight w:val="0"/>
              <w:marTop w:val="0"/>
              <w:marBottom w:val="0"/>
              <w:divBdr>
                <w:top w:val="none" w:sz="0" w:space="0" w:color="auto"/>
                <w:left w:val="none" w:sz="0" w:space="0" w:color="auto"/>
                <w:bottom w:val="none" w:sz="0" w:space="0" w:color="auto"/>
                <w:right w:val="none" w:sz="0" w:space="0" w:color="auto"/>
              </w:divBdr>
              <w:divsChild>
                <w:div w:id="1749763021">
                  <w:marLeft w:val="0"/>
                  <w:marRight w:val="0"/>
                  <w:marTop w:val="0"/>
                  <w:marBottom w:val="0"/>
                  <w:divBdr>
                    <w:top w:val="none" w:sz="0" w:space="0" w:color="auto"/>
                    <w:left w:val="none" w:sz="0" w:space="0" w:color="auto"/>
                    <w:bottom w:val="none" w:sz="0" w:space="0" w:color="auto"/>
                    <w:right w:val="none" w:sz="0" w:space="0" w:color="auto"/>
                  </w:divBdr>
                  <w:divsChild>
                    <w:div w:id="870611429">
                      <w:marLeft w:val="0"/>
                      <w:marRight w:val="0"/>
                      <w:marTop w:val="0"/>
                      <w:marBottom w:val="0"/>
                      <w:divBdr>
                        <w:top w:val="none" w:sz="0" w:space="0" w:color="auto"/>
                        <w:left w:val="none" w:sz="0" w:space="0" w:color="auto"/>
                        <w:bottom w:val="none" w:sz="0" w:space="0" w:color="auto"/>
                        <w:right w:val="none" w:sz="0" w:space="0" w:color="auto"/>
                      </w:divBdr>
                      <w:divsChild>
                        <w:div w:id="1718121488">
                          <w:marLeft w:val="0"/>
                          <w:marRight w:val="0"/>
                          <w:marTop w:val="0"/>
                          <w:marBottom w:val="0"/>
                          <w:divBdr>
                            <w:top w:val="none" w:sz="0" w:space="0" w:color="auto"/>
                            <w:left w:val="none" w:sz="0" w:space="0" w:color="auto"/>
                            <w:bottom w:val="none" w:sz="0" w:space="0" w:color="auto"/>
                            <w:right w:val="none" w:sz="0" w:space="0" w:color="auto"/>
                          </w:divBdr>
                          <w:divsChild>
                            <w:div w:id="1774326354">
                              <w:marLeft w:val="0"/>
                              <w:marRight w:val="0"/>
                              <w:marTop w:val="0"/>
                              <w:marBottom w:val="0"/>
                              <w:divBdr>
                                <w:top w:val="none" w:sz="0" w:space="0" w:color="auto"/>
                                <w:left w:val="none" w:sz="0" w:space="0" w:color="auto"/>
                                <w:bottom w:val="none" w:sz="0" w:space="0" w:color="auto"/>
                                <w:right w:val="none" w:sz="0" w:space="0" w:color="auto"/>
                              </w:divBdr>
                              <w:divsChild>
                                <w:div w:id="1488013974">
                                  <w:marLeft w:val="0"/>
                                  <w:marRight w:val="0"/>
                                  <w:marTop w:val="0"/>
                                  <w:marBottom w:val="0"/>
                                  <w:divBdr>
                                    <w:top w:val="none" w:sz="0" w:space="0" w:color="auto"/>
                                    <w:left w:val="none" w:sz="0" w:space="0" w:color="auto"/>
                                    <w:bottom w:val="none" w:sz="0" w:space="0" w:color="auto"/>
                                    <w:right w:val="none" w:sz="0" w:space="0" w:color="auto"/>
                                  </w:divBdr>
                                  <w:divsChild>
                                    <w:div w:id="39454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654781">
      <w:bodyDiv w:val="1"/>
      <w:marLeft w:val="0"/>
      <w:marRight w:val="0"/>
      <w:marTop w:val="0"/>
      <w:marBottom w:val="0"/>
      <w:divBdr>
        <w:top w:val="none" w:sz="0" w:space="0" w:color="auto"/>
        <w:left w:val="none" w:sz="0" w:space="0" w:color="auto"/>
        <w:bottom w:val="none" w:sz="0" w:space="0" w:color="auto"/>
        <w:right w:val="none" w:sz="0" w:space="0" w:color="auto"/>
      </w:divBdr>
      <w:divsChild>
        <w:div w:id="250509351">
          <w:marLeft w:val="0"/>
          <w:marRight w:val="0"/>
          <w:marTop w:val="0"/>
          <w:marBottom w:val="0"/>
          <w:divBdr>
            <w:top w:val="none" w:sz="0" w:space="0" w:color="auto"/>
            <w:left w:val="none" w:sz="0" w:space="0" w:color="auto"/>
            <w:bottom w:val="none" w:sz="0" w:space="0" w:color="auto"/>
            <w:right w:val="none" w:sz="0" w:space="0" w:color="auto"/>
          </w:divBdr>
          <w:divsChild>
            <w:div w:id="1652909714">
              <w:marLeft w:val="0"/>
              <w:marRight w:val="0"/>
              <w:marTop w:val="0"/>
              <w:marBottom w:val="0"/>
              <w:divBdr>
                <w:top w:val="none" w:sz="0" w:space="0" w:color="auto"/>
                <w:left w:val="none" w:sz="0" w:space="0" w:color="auto"/>
                <w:bottom w:val="none" w:sz="0" w:space="0" w:color="auto"/>
                <w:right w:val="none" w:sz="0" w:space="0" w:color="auto"/>
              </w:divBdr>
              <w:divsChild>
                <w:div w:id="162550285">
                  <w:marLeft w:val="0"/>
                  <w:marRight w:val="0"/>
                  <w:marTop w:val="0"/>
                  <w:marBottom w:val="0"/>
                  <w:divBdr>
                    <w:top w:val="none" w:sz="0" w:space="0" w:color="auto"/>
                    <w:left w:val="none" w:sz="0" w:space="0" w:color="auto"/>
                    <w:bottom w:val="none" w:sz="0" w:space="0" w:color="auto"/>
                    <w:right w:val="none" w:sz="0" w:space="0" w:color="auto"/>
                  </w:divBdr>
                  <w:divsChild>
                    <w:div w:id="809177029">
                      <w:marLeft w:val="0"/>
                      <w:marRight w:val="0"/>
                      <w:marTop w:val="0"/>
                      <w:marBottom w:val="0"/>
                      <w:divBdr>
                        <w:top w:val="none" w:sz="0" w:space="0" w:color="auto"/>
                        <w:left w:val="none" w:sz="0" w:space="0" w:color="auto"/>
                        <w:bottom w:val="none" w:sz="0" w:space="0" w:color="auto"/>
                        <w:right w:val="none" w:sz="0" w:space="0" w:color="auto"/>
                      </w:divBdr>
                      <w:divsChild>
                        <w:div w:id="1457871101">
                          <w:marLeft w:val="0"/>
                          <w:marRight w:val="0"/>
                          <w:marTop w:val="0"/>
                          <w:marBottom w:val="0"/>
                          <w:divBdr>
                            <w:top w:val="none" w:sz="0" w:space="0" w:color="auto"/>
                            <w:left w:val="none" w:sz="0" w:space="0" w:color="auto"/>
                            <w:bottom w:val="none" w:sz="0" w:space="0" w:color="auto"/>
                            <w:right w:val="none" w:sz="0" w:space="0" w:color="auto"/>
                          </w:divBdr>
                          <w:divsChild>
                            <w:div w:id="1758096554">
                              <w:marLeft w:val="0"/>
                              <w:marRight w:val="0"/>
                              <w:marTop w:val="0"/>
                              <w:marBottom w:val="0"/>
                              <w:divBdr>
                                <w:top w:val="none" w:sz="0" w:space="0" w:color="auto"/>
                                <w:left w:val="none" w:sz="0" w:space="0" w:color="auto"/>
                                <w:bottom w:val="none" w:sz="0" w:space="0" w:color="auto"/>
                                <w:right w:val="none" w:sz="0" w:space="0" w:color="auto"/>
                              </w:divBdr>
                              <w:divsChild>
                                <w:div w:id="928973486">
                                  <w:marLeft w:val="0"/>
                                  <w:marRight w:val="0"/>
                                  <w:marTop w:val="0"/>
                                  <w:marBottom w:val="0"/>
                                  <w:divBdr>
                                    <w:top w:val="none" w:sz="0" w:space="0" w:color="auto"/>
                                    <w:left w:val="none" w:sz="0" w:space="0" w:color="auto"/>
                                    <w:bottom w:val="none" w:sz="0" w:space="0" w:color="auto"/>
                                    <w:right w:val="none" w:sz="0" w:space="0" w:color="auto"/>
                                  </w:divBdr>
                                  <w:divsChild>
                                    <w:div w:id="1384017339">
                                      <w:marLeft w:val="0"/>
                                      <w:marRight w:val="0"/>
                                      <w:marTop w:val="0"/>
                                      <w:marBottom w:val="0"/>
                                      <w:divBdr>
                                        <w:top w:val="none" w:sz="0" w:space="0" w:color="auto"/>
                                        <w:left w:val="none" w:sz="0" w:space="0" w:color="auto"/>
                                        <w:bottom w:val="none" w:sz="0" w:space="0" w:color="auto"/>
                                        <w:right w:val="none" w:sz="0" w:space="0" w:color="auto"/>
                                      </w:divBdr>
                                      <w:divsChild>
                                        <w:div w:id="78521675">
                                          <w:marLeft w:val="0"/>
                                          <w:marRight w:val="0"/>
                                          <w:marTop w:val="0"/>
                                          <w:marBottom w:val="0"/>
                                          <w:divBdr>
                                            <w:top w:val="none" w:sz="0" w:space="0" w:color="auto"/>
                                            <w:left w:val="none" w:sz="0" w:space="0" w:color="auto"/>
                                            <w:bottom w:val="none" w:sz="0" w:space="0" w:color="auto"/>
                                            <w:right w:val="none" w:sz="0" w:space="0" w:color="auto"/>
                                          </w:divBdr>
                                        </w:div>
                                        <w:div w:id="308871481">
                                          <w:marLeft w:val="0"/>
                                          <w:marRight w:val="0"/>
                                          <w:marTop w:val="0"/>
                                          <w:marBottom w:val="0"/>
                                          <w:divBdr>
                                            <w:top w:val="none" w:sz="0" w:space="0" w:color="auto"/>
                                            <w:left w:val="none" w:sz="0" w:space="0" w:color="auto"/>
                                            <w:bottom w:val="none" w:sz="0" w:space="0" w:color="auto"/>
                                            <w:right w:val="none" w:sz="0" w:space="0" w:color="auto"/>
                                          </w:divBdr>
                                        </w:div>
                                        <w:div w:id="874855161">
                                          <w:marLeft w:val="0"/>
                                          <w:marRight w:val="0"/>
                                          <w:marTop w:val="0"/>
                                          <w:marBottom w:val="0"/>
                                          <w:divBdr>
                                            <w:top w:val="none" w:sz="0" w:space="0" w:color="auto"/>
                                            <w:left w:val="none" w:sz="0" w:space="0" w:color="auto"/>
                                            <w:bottom w:val="none" w:sz="0" w:space="0" w:color="auto"/>
                                            <w:right w:val="none" w:sz="0" w:space="0" w:color="auto"/>
                                          </w:divBdr>
                                        </w:div>
                                        <w:div w:id="981234602">
                                          <w:marLeft w:val="0"/>
                                          <w:marRight w:val="0"/>
                                          <w:marTop w:val="0"/>
                                          <w:marBottom w:val="0"/>
                                          <w:divBdr>
                                            <w:top w:val="none" w:sz="0" w:space="0" w:color="auto"/>
                                            <w:left w:val="none" w:sz="0" w:space="0" w:color="auto"/>
                                            <w:bottom w:val="none" w:sz="0" w:space="0" w:color="auto"/>
                                            <w:right w:val="none" w:sz="0" w:space="0" w:color="auto"/>
                                          </w:divBdr>
                                        </w:div>
                                        <w:div w:id="17500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97310">
                          <w:marLeft w:val="0"/>
                          <w:marRight w:val="0"/>
                          <w:marTop w:val="0"/>
                          <w:marBottom w:val="0"/>
                          <w:divBdr>
                            <w:top w:val="none" w:sz="0" w:space="0" w:color="auto"/>
                            <w:left w:val="none" w:sz="0" w:space="0" w:color="auto"/>
                            <w:bottom w:val="none" w:sz="0" w:space="0" w:color="auto"/>
                            <w:right w:val="none" w:sz="0" w:space="0" w:color="auto"/>
                          </w:divBdr>
                          <w:divsChild>
                            <w:div w:id="65491854">
                              <w:marLeft w:val="0"/>
                              <w:marRight w:val="0"/>
                              <w:marTop w:val="0"/>
                              <w:marBottom w:val="0"/>
                              <w:divBdr>
                                <w:top w:val="none" w:sz="0" w:space="0" w:color="auto"/>
                                <w:left w:val="none" w:sz="0" w:space="0" w:color="auto"/>
                                <w:bottom w:val="none" w:sz="0" w:space="0" w:color="auto"/>
                                <w:right w:val="none" w:sz="0" w:space="0" w:color="auto"/>
                              </w:divBdr>
                              <w:divsChild>
                                <w:div w:id="2124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232854">
      <w:bodyDiv w:val="1"/>
      <w:marLeft w:val="0"/>
      <w:marRight w:val="0"/>
      <w:marTop w:val="0"/>
      <w:marBottom w:val="0"/>
      <w:divBdr>
        <w:top w:val="none" w:sz="0" w:space="0" w:color="auto"/>
        <w:left w:val="none" w:sz="0" w:space="0" w:color="auto"/>
        <w:bottom w:val="none" w:sz="0" w:space="0" w:color="auto"/>
        <w:right w:val="none" w:sz="0" w:space="0" w:color="auto"/>
      </w:divBdr>
      <w:divsChild>
        <w:div w:id="1236360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390471">
      <w:bodyDiv w:val="1"/>
      <w:marLeft w:val="0"/>
      <w:marRight w:val="0"/>
      <w:marTop w:val="0"/>
      <w:marBottom w:val="0"/>
      <w:divBdr>
        <w:top w:val="none" w:sz="0" w:space="0" w:color="auto"/>
        <w:left w:val="none" w:sz="0" w:space="0" w:color="auto"/>
        <w:bottom w:val="none" w:sz="0" w:space="0" w:color="auto"/>
        <w:right w:val="none" w:sz="0" w:space="0" w:color="auto"/>
      </w:divBdr>
    </w:div>
    <w:div w:id="455947118">
      <w:bodyDiv w:val="1"/>
      <w:marLeft w:val="0"/>
      <w:marRight w:val="0"/>
      <w:marTop w:val="0"/>
      <w:marBottom w:val="0"/>
      <w:divBdr>
        <w:top w:val="none" w:sz="0" w:space="0" w:color="auto"/>
        <w:left w:val="none" w:sz="0" w:space="0" w:color="auto"/>
        <w:bottom w:val="none" w:sz="0" w:space="0" w:color="auto"/>
        <w:right w:val="none" w:sz="0" w:space="0" w:color="auto"/>
      </w:divBdr>
    </w:div>
    <w:div w:id="468940335">
      <w:bodyDiv w:val="1"/>
      <w:marLeft w:val="0"/>
      <w:marRight w:val="0"/>
      <w:marTop w:val="0"/>
      <w:marBottom w:val="0"/>
      <w:divBdr>
        <w:top w:val="none" w:sz="0" w:space="0" w:color="auto"/>
        <w:left w:val="none" w:sz="0" w:space="0" w:color="auto"/>
        <w:bottom w:val="none" w:sz="0" w:space="0" w:color="auto"/>
        <w:right w:val="none" w:sz="0" w:space="0" w:color="auto"/>
      </w:divBdr>
      <w:divsChild>
        <w:div w:id="636229237">
          <w:marLeft w:val="0"/>
          <w:marRight w:val="0"/>
          <w:marTop w:val="0"/>
          <w:marBottom w:val="0"/>
          <w:divBdr>
            <w:top w:val="none" w:sz="0" w:space="0" w:color="auto"/>
            <w:left w:val="none" w:sz="0" w:space="0" w:color="auto"/>
            <w:bottom w:val="none" w:sz="0" w:space="0" w:color="auto"/>
            <w:right w:val="none" w:sz="0" w:space="0" w:color="auto"/>
          </w:divBdr>
          <w:divsChild>
            <w:div w:id="907307563">
              <w:marLeft w:val="0"/>
              <w:marRight w:val="0"/>
              <w:marTop w:val="0"/>
              <w:marBottom w:val="0"/>
              <w:divBdr>
                <w:top w:val="none" w:sz="0" w:space="0" w:color="auto"/>
                <w:left w:val="none" w:sz="0" w:space="0" w:color="auto"/>
                <w:bottom w:val="none" w:sz="0" w:space="0" w:color="auto"/>
                <w:right w:val="none" w:sz="0" w:space="0" w:color="auto"/>
              </w:divBdr>
              <w:divsChild>
                <w:div w:id="515507378">
                  <w:marLeft w:val="0"/>
                  <w:marRight w:val="0"/>
                  <w:marTop w:val="0"/>
                  <w:marBottom w:val="0"/>
                  <w:divBdr>
                    <w:top w:val="none" w:sz="0" w:space="0" w:color="auto"/>
                    <w:left w:val="none" w:sz="0" w:space="0" w:color="auto"/>
                    <w:bottom w:val="none" w:sz="0" w:space="0" w:color="auto"/>
                    <w:right w:val="none" w:sz="0" w:space="0" w:color="auto"/>
                  </w:divBdr>
                  <w:divsChild>
                    <w:div w:id="697632249">
                      <w:marLeft w:val="0"/>
                      <w:marRight w:val="0"/>
                      <w:marTop w:val="0"/>
                      <w:marBottom w:val="0"/>
                      <w:divBdr>
                        <w:top w:val="none" w:sz="0" w:space="0" w:color="auto"/>
                        <w:left w:val="none" w:sz="0" w:space="0" w:color="auto"/>
                        <w:bottom w:val="none" w:sz="0" w:space="0" w:color="auto"/>
                        <w:right w:val="none" w:sz="0" w:space="0" w:color="auto"/>
                      </w:divBdr>
                      <w:divsChild>
                        <w:div w:id="181087733">
                          <w:marLeft w:val="0"/>
                          <w:marRight w:val="0"/>
                          <w:marTop w:val="0"/>
                          <w:marBottom w:val="0"/>
                          <w:divBdr>
                            <w:top w:val="none" w:sz="0" w:space="0" w:color="auto"/>
                            <w:left w:val="none" w:sz="0" w:space="0" w:color="auto"/>
                            <w:bottom w:val="none" w:sz="0" w:space="0" w:color="auto"/>
                            <w:right w:val="none" w:sz="0" w:space="0" w:color="auto"/>
                          </w:divBdr>
                          <w:divsChild>
                            <w:div w:id="475220620">
                              <w:marLeft w:val="0"/>
                              <w:marRight w:val="0"/>
                              <w:marTop w:val="0"/>
                              <w:marBottom w:val="0"/>
                              <w:divBdr>
                                <w:top w:val="none" w:sz="0" w:space="0" w:color="auto"/>
                                <w:left w:val="none" w:sz="0" w:space="0" w:color="auto"/>
                                <w:bottom w:val="none" w:sz="0" w:space="0" w:color="auto"/>
                                <w:right w:val="none" w:sz="0" w:space="0" w:color="auto"/>
                              </w:divBdr>
                              <w:divsChild>
                                <w:div w:id="104230033">
                                  <w:marLeft w:val="0"/>
                                  <w:marRight w:val="0"/>
                                  <w:marTop w:val="0"/>
                                  <w:marBottom w:val="0"/>
                                  <w:divBdr>
                                    <w:top w:val="none" w:sz="0" w:space="0" w:color="auto"/>
                                    <w:left w:val="none" w:sz="0" w:space="0" w:color="auto"/>
                                    <w:bottom w:val="none" w:sz="0" w:space="0" w:color="auto"/>
                                    <w:right w:val="none" w:sz="0" w:space="0" w:color="auto"/>
                                  </w:divBdr>
                                  <w:divsChild>
                                    <w:div w:id="6554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78013">
                          <w:marLeft w:val="0"/>
                          <w:marRight w:val="0"/>
                          <w:marTop w:val="0"/>
                          <w:marBottom w:val="0"/>
                          <w:divBdr>
                            <w:top w:val="none" w:sz="0" w:space="0" w:color="auto"/>
                            <w:left w:val="none" w:sz="0" w:space="0" w:color="auto"/>
                            <w:bottom w:val="none" w:sz="0" w:space="0" w:color="auto"/>
                            <w:right w:val="none" w:sz="0" w:space="0" w:color="auto"/>
                          </w:divBdr>
                          <w:divsChild>
                            <w:div w:id="629822391">
                              <w:marLeft w:val="0"/>
                              <w:marRight w:val="0"/>
                              <w:marTop w:val="0"/>
                              <w:marBottom w:val="0"/>
                              <w:divBdr>
                                <w:top w:val="none" w:sz="0" w:space="0" w:color="auto"/>
                                <w:left w:val="none" w:sz="0" w:space="0" w:color="auto"/>
                                <w:bottom w:val="none" w:sz="0" w:space="0" w:color="auto"/>
                                <w:right w:val="none" w:sz="0" w:space="0" w:color="auto"/>
                              </w:divBdr>
                              <w:divsChild>
                                <w:div w:id="7508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025796">
      <w:bodyDiv w:val="1"/>
      <w:marLeft w:val="0"/>
      <w:marRight w:val="0"/>
      <w:marTop w:val="0"/>
      <w:marBottom w:val="0"/>
      <w:divBdr>
        <w:top w:val="none" w:sz="0" w:space="0" w:color="auto"/>
        <w:left w:val="none" w:sz="0" w:space="0" w:color="auto"/>
        <w:bottom w:val="none" w:sz="0" w:space="0" w:color="auto"/>
        <w:right w:val="none" w:sz="0" w:space="0" w:color="auto"/>
      </w:divBdr>
      <w:divsChild>
        <w:div w:id="530806192">
          <w:marLeft w:val="0"/>
          <w:marRight w:val="0"/>
          <w:marTop w:val="0"/>
          <w:marBottom w:val="0"/>
          <w:divBdr>
            <w:top w:val="none" w:sz="0" w:space="0" w:color="auto"/>
            <w:left w:val="none" w:sz="0" w:space="0" w:color="auto"/>
            <w:bottom w:val="none" w:sz="0" w:space="0" w:color="auto"/>
            <w:right w:val="none" w:sz="0" w:space="0" w:color="auto"/>
          </w:divBdr>
          <w:divsChild>
            <w:div w:id="12598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4935">
      <w:bodyDiv w:val="1"/>
      <w:marLeft w:val="0"/>
      <w:marRight w:val="0"/>
      <w:marTop w:val="0"/>
      <w:marBottom w:val="0"/>
      <w:divBdr>
        <w:top w:val="none" w:sz="0" w:space="0" w:color="auto"/>
        <w:left w:val="none" w:sz="0" w:space="0" w:color="auto"/>
        <w:bottom w:val="none" w:sz="0" w:space="0" w:color="auto"/>
        <w:right w:val="none" w:sz="0" w:space="0" w:color="auto"/>
      </w:divBdr>
      <w:divsChild>
        <w:div w:id="103770560">
          <w:marLeft w:val="0"/>
          <w:marRight w:val="0"/>
          <w:marTop w:val="0"/>
          <w:marBottom w:val="0"/>
          <w:divBdr>
            <w:top w:val="single" w:sz="2" w:space="0" w:color="auto"/>
            <w:left w:val="single" w:sz="2" w:space="0" w:color="auto"/>
            <w:bottom w:val="single" w:sz="2" w:space="0" w:color="auto"/>
            <w:right w:val="single" w:sz="2" w:space="0" w:color="auto"/>
          </w:divBdr>
          <w:divsChild>
            <w:div w:id="1872956897">
              <w:marLeft w:val="0"/>
              <w:marRight w:val="0"/>
              <w:marTop w:val="0"/>
              <w:marBottom w:val="0"/>
              <w:divBdr>
                <w:top w:val="single" w:sz="2" w:space="0" w:color="auto"/>
                <w:left w:val="single" w:sz="2" w:space="0" w:color="auto"/>
                <w:bottom w:val="single" w:sz="2" w:space="0" w:color="auto"/>
                <w:right w:val="single" w:sz="2" w:space="0" w:color="auto"/>
              </w:divBdr>
              <w:divsChild>
                <w:div w:id="1898709208">
                  <w:marLeft w:val="0"/>
                  <w:marRight w:val="0"/>
                  <w:marTop w:val="0"/>
                  <w:marBottom w:val="0"/>
                  <w:divBdr>
                    <w:top w:val="single" w:sz="2" w:space="0" w:color="auto"/>
                    <w:left w:val="single" w:sz="2" w:space="0" w:color="auto"/>
                    <w:bottom w:val="single" w:sz="2" w:space="0" w:color="auto"/>
                    <w:right w:val="single" w:sz="2" w:space="0" w:color="auto"/>
                  </w:divBdr>
                  <w:divsChild>
                    <w:div w:id="891845850">
                      <w:marLeft w:val="0"/>
                      <w:marRight w:val="0"/>
                      <w:marTop w:val="0"/>
                      <w:marBottom w:val="0"/>
                      <w:divBdr>
                        <w:top w:val="single" w:sz="2" w:space="0" w:color="auto"/>
                        <w:left w:val="single" w:sz="2" w:space="0" w:color="auto"/>
                        <w:bottom w:val="single" w:sz="2" w:space="0" w:color="auto"/>
                        <w:right w:val="single" w:sz="2" w:space="0" w:color="auto"/>
                      </w:divBdr>
                      <w:divsChild>
                        <w:div w:id="520434943">
                          <w:marLeft w:val="0"/>
                          <w:marRight w:val="0"/>
                          <w:marTop w:val="0"/>
                          <w:marBottom w:val="0"/>
                          <w:divBdr>
                            <w:top w:val="single" w:sz="2" w:space="0" w:color="auto"/>
                            <w:left w:val="single" w:sz="2" w:space="0" w:color="auto"/>
                            <w:bottom w:val="single" w:sz="2" w:space="0" w:color="auto"/>
                            <w:right w:val="single" w:sz="2" w:space="0" w:color="auto"/>
                          </w:divBdr>
                          <w:divsChild>
                            <w:div w:id="378553590">
                              <w:marLeft w:val="0"/>
                              <w:marRight w:val="0"/>
                              <w:marTop w:val="0"/>
                              <w:marBottom w:val="0"/>
                              <w:divBdr>
                                <w:top w:val="single" w:sz="2" w:space="0" w:color="auto"/>
                                <w:left w:val="single" w:sz="2" w:space="0" w:color="auto"/>
                                <w:bottom w:val="single" w:sz="2" w:space="0" w:color="auto"/>
                                <w:right w:val="single" w:sz="2" w:space="0" w:color="auto"/>
                              </w:divBdr>
                              <w:divsChild>
                                <w:div w:id="1996831819">
                                  <w:marLeft w:val="0"/>
                                  <w:marRight w:val="0"/>
                                  <w:marTop w:val="0"/>
                                  <w:marBottom w:val="0"/>
                                  <w:divBdr>
                                    <w:top w:val="single" w:sz="2" w:space="2" w:color="auto"/>
                                    <w:left w:val="single" w:sz="2" w:space="0" w:color="auto"/>
                                    <w:bottom w:val="single" w:sz="2" w:space="0" w:color="auto"/>
                                    <w:right w:val="single" w:sz="2" w:space="0" w:color="auto"/>
                                  </w:divBdr>
                                  <w:divsChild>
                                    <w:div w:id="2807686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560360347">
      <w:bodyDiv w:val="1"/>
      <w:marLeft w:val="0"/>
      <w:marRight w:val="0"/>
      <w:marTop w:val="0"/>
      <w:marBottom w:val="0"/>
      <w:divBdr>
        <w:top w:val="none" w:sz="0" w:space="0" w:color="auto"/>
        <w:left w:val="none" w:sz="0" w:space="0" w:color="auto"/>
        <w:bottom w:val="none" w:sz="0" w:space="0" w:color="auto"/>
        <w:right w:val="none" w:sz="0" w:space="0" w:color="auto"/>
      </w:divBdr>
    </w:div>
    <w:div w:id="572200602">
      <w:bodyDiv w:val="1"/>
      <w:marLeft w:val="0"/>
      <w:marRight w:val="0"/>
      <w:marTop w:val="0"/>
      <w:marBottom w:val="0"/>
      <w:divBdr>
        <w:top w:val="none" w:sz="0" w:space="0" w:color="auto"/>
        <w:left w:val="none" w:sz="0" w:space="0" w:color="auto"/>
        <w:bottom w:val="none" w:sz="0" w:space="0" w:color="auto"/>
        <w:right w:val="none" w:sz="0" w:space="0" w:color="auto"/>
      </w:divBdr>
      <w:divsChild>
        <w:div w:id="1915823331">
          <w:marLeft w:val="0"/>
          <w:marRight w:val="0"/>
          <w:marTop w:val="0"/>
          <w:marBottom w:val="0"/>
          <w:divBdr>
            <w:top w:val="none" w:sz="0" w:space="0" w:color="auto"/>
            <w:left w:val="none" w:sz="0" w:space="0" w:color="auto"/>
            <w:bottom w:val="none" w:sz="0" w:space="0" w:color="auto"/>
            <w:right w:val="none" w:sz="0" w:space="0" w:color="auto"/>
          </w:divBdr>
          <w:divsChild>
            <w:div w:id="485164906">
              <w:marLeft w:val="0"/>
              <w:marRight w:val="0"/>
              <w:marTop w:val="0"/>
              <w:marBottom w:val="0"/>
              <w:divBdr>
                <w:top w:val="none" w:sz="0" w:space="0" w:color="auto"/>
                <w:left w:val="none" w:sz="0" w:space="0" w:color="auto"/>
                <w:bottom w:val="none" w:sz="0" w:space="0" w:color="auto"/>
                <w:right w:val="none" w:sz="0" w:space="0" w:color="auto"/>
              </w:divBdr>
              <w:divsChild>
                <w:div w:id="2139713074">
                  <w:marLeft w:val="0"/>
                  <w:marRight w:val="0"/>
                  <w:marTop w:val="0"/>
                  <w:marBottom w:val="0"/>
                  <w:divBdr>
                    <w:top w:val="none" w:sz="0" w:space="0" w:color="auto"/>
                    <w:left w:val="none" w:sz="0" w:space="0" w:color="auto"/>
                    <w:bottom w:val="none" w:sz="0" w:space="0" w:color="auto"/>
                    <w:right w:val="none" w:sz="0" w:space="0" w:color="auto"/>
                  </w:divBdr>
                  <w:divsChild>
                    <w:div w:id="18368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988602">
      <w:bodyDiv w:val="1"/>
      <w:marLeft w:val="0"/>
      <w:marRight w:val="0"/>
      <w:marTop w:val="0"/>
      <w:marBottom w:val="0"/>
      <w:divBdr>
        <w:top w:val="none" w:sz="0" w:space="0" w:color="auto"/>
        <w:left w:val="none" w:sz="0" w:space="0" w:color="auto"/>
        <w:bottom w:val="none" w:sz="0" w:space="0" w:color="auto"/>
        <w:right w:val="none" w:sz="0" w:space="0" w:color="auto"/>
      </w:divBdr>
      <w:divsChild>
        <w:div w:id="482503408">
          <w:marLeft w:val="0"/>
          <w:marRight w:val="0"/>
          <w:marTop w:val="0"/>
          <w:marBottom w:val="0"/>
          <w:divBdr>
            <w:top w:val="none" w:sz="0" w:space="0" w:color="auto"/>
            <w:left w:val="none" w:sz="0" w:space="0" w:color="auto"/>
            <w:bottom w:val="none" w:sz="0" w:space="0" w:color="auto"/>
            <w:right w:val="none" w:sz="0" w:space="0" w:color="auto"/>
          </w:divBdr>
          <w:divsChild>
            <w:div w:id="1749843380">
              <w:marLeft w:val="0"/>
              <w:marRight w:val="0"/>
              <w:marTop w:val="0"/>
              <w:marBottom w:val="0"/>
              <w:divBdr>
                <w:top w:val="none" w:sz="0" w:space="0" w:color="auto"/>
                <w:left w:val="none" w:sz="0" w:space="0" w:color="auto"/>
                <w:bottom w:val="none" w:sz="0" w:space="0" w:color="auto"/>
                <w:right w:val="none" w:sz="0" w:space="0" w:color="auto"/>
              </w:divBdr>
              <w:divsChild>
                <w:div w:id="1515614012">
                  <w:marLeft w:val="0"/>
                  <w:marRight w:val="0"/>
                  <w:marTop w:val="0"/>
                  <w:marBottom w:val="0"/>
                  <w:divBdr>
                    <w:top w:val="none" w:sz="0" w:space="0" w:color="auto"/>
                    <w:left w:val="none" w:sz="0" w:space="0" w:color="auto"/>
                    <w:bottom w:val="none" w:sz="0" w:space="0" w:color="auto"/>
                    <w:right w:val="none" w:sz="0" w:space="0" w:color="auto"/>
                  </w:divBdr>
                  <w:divsChild>
                    <w:div w:id="1984506331">
                      <w:marLeft w:val="0"/>
                      <w:marRight w:val="0"/>
                      <w:marTop w:val="0"/>
                      <w:marBottom w:val="0"/>
                      <w:divBdr>
                        <w:top w:val="none" w:sz="0" w:space="0" w:color="auto"/>
                        <w:left w:val="none" w:sz="0" w:space="0" w:color="auto"/>
                        <w:bottom w:val="none" w:sz="0" w:space="0" w:color="auto"/>
                        <w:right w:val="none" w:sz="0" w:space="0" w:color="auto"/>
                      </w:divBdr>
                      <w:divsChild>
                        <w:div w:id="1250428318">
                          <w:marLeft w:val="0"/>
                          <w:marRight w:val="0"/>
                          <w:marTop w:val="0"/>
                          <w:marBottom w:val="0"/>
                          <w:divBdr>
                            <w:top w:val="none" w:sz="0" w:space="0" w:color="auto"/>
                            <w:left w:val="none" w:sz="0" w:space="0" w:color="auto"/>
                            <w:bottom w:val="none" w:sz="0" w:space="0" w:color="auto"/>
                            <w:right w:val="none" w:sz="0" w:space="0" w:color="auto"/>
                          </w:divBdr>
                          <w:divsChild>
                            <w:div w:id="2125464802">
                              <w:marLeft w:val="0"/>
                              <w:marRight w:val="0"/>
                              <w:marTop w:val="0"/>
                              <w:marBottom w:val="0"/>
                              <w:divBdr>
                                <w:top w:val="none" w:sz="0" w:space="0" w:color="auto"/>
                                <w:left w:val="none" w:sz="0" w:space="0" w:color="auto"/>
                                <w:bottom w:val="none" w:sz="0" w:space="0" w:color="auto"/>
                                <w:right w:val="none" w:sz="0" w:space="0" w:color="auto"/>
                              </w:divBdr>
                              <w:divsChild>
                                <w:div w:id="140460620">
                                  <w:marLeft w:val="0"/>
                                  <w:marRight w:val="0"/>
                                  <w:marTop w:val="0"/>
                                  <w:marBottom w:val="0"/>
                                  <w:divBdr>
                                    <w:top w:val="none" w:sz="0" w:space="0" w:color="auto"/>
                                    <w:left w:val="none" w:sz="0" w:space="0" w:color="auto"/>
                                    <w:bottom w:val="none" w:sz="0" w:space="0" w:color="auto"/>
                                    <w:right w:val="none" w:sz="0" w:space="0" w:color="auto"/>
                                  </w:divBdr>
                                  <w:divsChild>
                                    <w:div w:id="202906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85599">
                          <w:marLeft w:val="0"/>
                          <w:marRight w:val="0"/>
                          <w:marTop w:val="0"/>
                          <w:marBottom w:val="0"/>
                          <w:divBdr>
                            <w:top w:val="none" w:sz="0" w:space="0" w:color="auto"/>
                            <w:left w:val="none" w:sz="0" w:space="0" w:color="auto"/>
                            <w:bottom w:val="none" w:sz="0" w:space="0" w:color="auto"/>
                            <w:right w:val="none" w:sz="0" w:space="0" w:color="auto"/>
                          </w:divBdr>
                          <w:divsChild>
                            <w:div w:id="1158886015">
                              <w:marLeft w:val="0"/>
                              <w:marRight w:val="0"/>
                              <w:marTop w:val="0"/>
                              <w:marBottom w:val="0"/>
                              <w:divBdr>
                                <w:top w:val="none" w:sz="0" w:space="0" w:color="auto"/>
                                <w:left w:val="none" w:sz="0" w:space="0" w:color="auto"/>
                                <w:bottom w:val="none" w:sz="0" w:space="0" w:color="auto"/>
                                <w:right w:val="none" w:sz="0" w:space="0" w:color="auto"/>
                              </w:divBdr>
                              <w:divsChild>
                                <w:div w:id="32879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95696">
      <w:bodyDiv w:val="1"/>
      <w:marLeft w:val="0"/>
      <w:marRight w:val="0"/>
      <w:marTop w:val="0"/>
      <w:marBottom w:val="0"/>
      <w:divBdr>
        <w:top w:val="none" w:sz="0" w:space="0" w:color="auto"/>
        <w:left w:val="none" w:sz="0" w:space="0" w:color="auto"/>
        <w:bottom w:val="none" w:sz="0" w:space="0" w:color="auto"/>
        <w:right w:val="none" w:sz="0" w:space="0" w:color="auto"/>
      </w:divBdr>
      <w:divsChild>
        <w:div w:id="1092042777">
          <w:marLeft w:val="0"/>
          <w:marRight w:val="0"/>
          <w:marTop w:val="0"/>
          <w:marBottom w:val="0"/>
          <w:divBdr>
            <w:top w:val="none" w:sz="0" w:space="0" w:color="auto"/>
            <w:left w:val="none" w:sz="0" w:space="0" w:color="auto"/>
            <w:bottom w:val="none" w:sz="0" w:space="0" w:color="auto"/>
            <w:right w:val="none" w:sz="0" w:space="0" w:color="auto"/>
          </w:divBdr>
          <w:divsChild>
            <w:div w:id="157858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02100">
      <w:bodyDiv w:val="1"/>
      <w:marLeft w:val="0"/>
      <w:marRight w:val="0"/>
      <w:marTop w:val="0"/>
      <w:marBottom w:val="0"/>
      <w:divBdr>
        <w:top w:val="none" w:sz="0" w:space="0" w:color="auto"/>
        <w:left w:val="none" w:sz="0" w:space="0" w:color="auto"/>
        <w:bottom w:val="none" w:sz="0" w:space="0" w:color="auto"/>
        <w:right w:val="none" w:sz="0" w:space="0" w:color="auto"/>
      </w:divBdr>
      <w:divsChild>
        <w:div w:id="1498114076">
          <w:marLeft w:val="0"/>
          <w:marRight w:val="0"/>
          <w:marTop w:val="0"/>
          <w:marBottom w:val="0"/>
          <w:divBdr>
            <w:top w:val="none" w:sz="0" w:space="0" w:color="auto"/>
            <w:left w:val="none" w:sz="0" w:space="0" w:color="auto"/>
            <w:bottom w:val="none" w:sz="0" w:space="0" w:color="auto"/>
            <w:right w:val="none" w:sz="0" w:space="0" w:color="auto"/>
          </w:divBdr>
          <w:divsChild>
            <w:div w:id="625741914">
              <w:marLeft w:val="0"/>
              <w:marRight w:val="0"/>
              <w:marTop w:val="0"/>
              <w:marBottom w:val="0"/>
              <w:divBdr>
                <w:top w:val="none" w:sz="0" w:space="0" w:color="auto"/>
                <w:left w:val="none" w:sz="0" w:space="0" w:color="auto"/>
                <w:bottom w:val="none" w:sz="0" w:space="0" w:color="auto"/>
                <w:right w:val="none" w:sz="0" w:space="0" w:color="auto"/>
              </w:divBdr>
              <w:divsChild>
                <w:div w:id="1250579997">
                  <w:marLeft w:val="0"/>
                  <w:marRight w:val="0"/>
                  <w:marTop w:val="0"/>
                  <w:marBottom w:val="0"/>
                  <w:divBdr>
                    <w:top w:val="none" w:sz="0" w:space="0" w:color="auto"/>
                    <w:left w:val="none" w:sz="0" w:space="0" w:color="auto"/>
                    <w:bottom w:val="none" w:sz="0" w:space="0" w:color="auto"/>
                    <w:right w:val="none" w:sz="0" w:space="0" w:color="auto"/>
                  </w:divBdr>
                  <w:divsChild>
                    <w:div w:id="21046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389016">
      <w:bodyDiv w:val="1"/>
      <w:marLeft w:val="0"/>
      <w:marRight w:val="0"/>
      <w:marTop w:val="0"/>
      <w:marBottom w:val="0"/>
      <w:divBdr>
        <w:top w:val="none" w:sz="0" w:space="0" w:color="auto"/>
        <w:left w:val="none" w:sz="0" w:space="0" w:color="auto"/>
        <w:bottom w:val="none" w:sz="0" w:space="0" w:color="auto"/>
        <w:right w:val="none" w:sz="0" w:space="0" w:color="auto"/>
      </w:divBdr>
      <w:divsChild>
        <w:div w:id="417823020">
          <w:marLeft w:val="0"/>
          <w:marRight w:val="0"/>
          <w:marTop w:val="0"/>
          <w:marBottom w:val="0"/>
          <w:divBdr>
            <w:top w:val="none" w:sz="0" w:space="0" w:color="auto"/>
            <w:left w:val="none" w:sz="0" w:space="0" w:color="auto"/>
            <w:bottom w:val="none" w:sz="0" w:space="0" w:color="auto"/>
            <w:right w:val="none" w:sz="0" w:space="0" w:color="auto"/>
          </w:divBdr>
          <w:divsChild>
            <w:div w:id="1527937643">
              <w:marLeft w:val="0"/>
              <w:marRight w:val="0"/>
              <w:marTop w:val="0"/>
              <w:marBottom w:val="0"/>
              <w:divBdr>
                <w:top w:val="none" w:sz="0" w:space="0" w:color="auto"/>
                <w:left w:val="none" w:sz="0" w:space="0" w:color="auto"/>
                <w:bottom w:val="none" w:sz="0" w:space="0" w:color="auto"/>
                <w:right w:val="none" w:sz="0" w:space="0" w:color="auto"/>
              </w:divBdr>
              <w:divsChild>
                <w:div w:id="1495341227">
                  <w:marLeft w:val="0"/>
                  <w:marRight w:val="0"/>
                  <w:marTop w:val="0"/>
                  <w:marBottom w:val="0"/>
                  <w:divBdr>
                    <w:top w:val="none" w:sz="0" w:space="0" w:color="auto"/>
                    <w:left w:val="none" w:sz="0" w:space="0" w:color="auto"/>
                    <w:bottom w:val="none" w:sz="0" w:space="0" w:color="auto"/>
                    <w:right w:val="none" w:sz="0" w:space="0" w:color="auto"/>
                  </w:divBdr>
                  <w:divsChild>
                    <w:div w:id="148473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369495">
      <w:bodyDiv w:val="1"/>
      <w:marLeft w:val="0"/>
      <w:marRight w:val="0"/>
      <w:marTop w:val="0"/>
      <w:marBottom w:val="0"/>
      <w:divBdr>
        <w:top w:val="none" w:sz="0" w:space="0" w:color="auto"/>
        <w:left w:val="none" w:sz="0" w:space="0" w:color="auto"/>
        <w:bottom w:val="none" w:sz="0" w:space="0" w:color="auto"/>
        <w:right w:val="none" w:sz="0" w:space="0" w:color="auto"/>
      </w:divBdr>
      <w:divsChild>
        <w:div w:id="855460320">
          <w:marLeft w:val="0"/>
          <w:marRight w:val="0"/>
          <w:marTop w:val="0"/>
          <w:marBottom w:val="0"/>
          <w:divBdr>
            <w:top w:val="none" w:sz="0" w:space="0" w:color="auto"/>
            <w:left w:val="none" w:sz="0" w:space="0" w:color="auto"/>
            <w:bottom w:val="none" w:sz="0" w:space="0" w:color="auto"/>
            <w:right w:val="none" w:sz="0" w:space="0" w:color="auto"/>
          </w:divBdr>
          <w:divsChild>
            <w:div w:id="377359225">
              <w:marLeft w:val="0"/>
              <w:marRight w:val="0"/>
              <w:marTop w:val="0"/>
              <w:marBottom w:val="0"/>
              <w:divBdr>
                <w:top w:val="none" w:sz="0" w:space="0" w:color="auto"/>
                <w:left w:val="none" w:sz="0" w:space="0" w:color="auto"/>
                <w:bottom w:val="none" w:sz="0" w:space="0" w:color="auto"/>
                <w:right w:val="none" w:sz="0" w:space="0" w:color="auto"/>
              </w:divBdr>
              <w:divsChild>
                <w:div w:id="41490297">
                  <w:marLeft w:val="0"/>
                  <w:marRight w:val="0"/>
                  <w:marTop w:val="0"/>
                  <w:marBottom w:val="0"/>
                  <w:divBdr>
                    <w:top w:val="none" w:sz="0" w:space="0" w:color="auto"/>
                    <w:left w:val="none" w:sz="0" w:space="0" w:color="auto"/>
                    <w:bottom w:val="none" w:sz="0" w:space="0" w:color="auto"/>
                    <w:right w:val="none" w:sz="0" w:space="0" w:color="auto"/>
                  </w:divBdr>
                  <w:divsChild>
                    <w:div w:id="1135947099">
                      <w:marLeft w:val="0"/>
                      <w:marRight w:val="0"/>
                      <w:marTop w:val="0"/>
                      <w:marBottom w:val="0"/>
                      <w:divBdr>
                        <w:top w:val="none" w:sz="0" w:space="0" w:color="auto"/>
                        <w:left w:val="none" w:sz="0" w:space="0" w:color="auto"/>
                        <w:bottom w:val="none" w:sz="0" w:space="0" w:color="auto"/>
                        <w:right w:val="none" w:sz="0" w:space="0" w:color="auto"/>
                      </w:divBdr>
                      <w:divsChild>
                        <w:div w:id="39669540">
                          <w:marLeft w:val="0"/>
                          <w:marRight w:val="0"/>
                          <w:marTop w:val="0"/>
                          <w:marBottom w:val="0"/>
                          <w:divBdr>
                            <w:top w:val="none" w:sz="0" w:space="0" w:color="auto"/>
                            <w:left w:val="none" w:sz="0" w:space="0" w:color="auto"/>
                            <w:bottom w:val="none" w:sz="0" w:space="0" w:color="auto"/>
                            <w:right w:val="none" w:sz="0" w:space="0" w:color="auto"/>
                          </w:divBdr>
                          <w:divsChild>
                            <w:div w:id="606229617">
                              <w:marLeft w:val="0"/>
                              <w:marRight w:val="0"/>
                              <w:marTop w:val="0"/>
                              <w:marBottom w:val="0"/>
                              <w:divBdr>
                                <w:top w:val="none" w:sz="0" w:space="0" w:color="auto"/>
                                <w:left w:val="none" w:sz="0" w:space="0" w:color="auto"/>
                                <w:bottom w:val="none" w:sz="0" w:space="0" w:color="auto"/>
                                <w:right w:val="none" w:sz="0" w:space="0" w:color="auto"/>
                              </w:divBdr>
                              <w:divsChild>
                                <w:div w:id="1080298634">
                                  <w:marLeft w:val="0"/>
                                  <w:marRight w:val="0"/>
                                  <w:marTop w:val="0"/>
                                  <w:marBottom w:val="0"/>
                                  <w:divBdr>
                                    <w:top w:val="none" w:sz="0" w:space="0" w:color="auto"/>
                                    <w:left w:val="none" w:sz="0" w:space="0" w:color="auto"/>
                                    <w:bottom w:val="none" w:sz="0" w:space="0" w:color="auto"/>
                                    <w:right w:val="none" w:sz="0" w:space="0" w:color="auto"/>
                                  </w:divBdr>
                                  <w:divsChild>
                                    <w:div w:id="163467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45924">
                          <w:marLeft w:val="0"/>
                          <w:marRight w:val="0"/>
                          <w:marTop w:val="0"/>
                          <w:marBottom w:val="0"/>
                          <w:divBdr>
                            <w:top w:val="none" w:sz="0" w:space="0" w:color="auto"/>
                            <w:left w:val="none" w:sz="0" w:space="0" w:color="auto"/>
                            <w:bottom w:val="none" w:sz="0" w:space="0" w:color="auto"/>
                            <w:right w:val="none" w:sz="0" w:space="0" w:color="auto"/>
                          </w:divBdr>
                          <w:divsChild>
                            <w:div w:id="1211528626">
                              <w:marLeft w:val="0"/>
                              <w:marRight w:val="0"/>
                              <w:marTop w:val="0"/>
                              <w:marBottom w:val="0"/>
                              <w:divBdr>
                                <w:top w:val="none" w:sz="0" w:space="0" w:color="auto"/>
                                <w:left w:val="none" w:sz="0" w:space="0" w:color="auto"/>
                                <w:bottom w:val="none" w:sz="0" w:space="0" w:color="auto"/>
                                <w:right w:val="none" w:sz="0" w:space="0" w:color="auto"/>
                              </w:divBdr>
                              <w:divsChild>
                                <w:div w:id="7870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971269">
      <w:bodyDiv w:val="1"/>
      <w:marLeft w:val="0"/>
      <w:marRight w:val="0"/>
      <w:marTop w:val="0"/>
      <w:marBottom w:val="0"/>
      <w:divBdr>
        <w:top w:val="none" w:sz="0" w:space="0" w:color="auto"/>
        <w:left w:val="none" w:sz="0" w:space="0" w:color="auto"/>
        <w:bottom w:val="none" w:sz="0" w:space="0" w:color="auto"/>
        <w:right w:val="none" w:sz="0" w:space="0" w:color="auto"/>
      </w:divBdr>
      <w:divsChild>
        <w:div w:id="1765764451">
          <w:marLeft w:val="0"/>
          <w:marRight w:val="0"/>
          <w:marTop w:val="0"/>
          <w:marBottom w:val="0"/>
          <w:divBdr>
            <w:top w:val="none" w:sz="0" w:space="0" w:color="auto"/>
            <w:left w:val="none" w:sz="0" w:space="0" w:color="auto"/>
            <w:bottom w:val="none" w:sz="0" w:space="0" w:color="auto"/>
            <w:right w:val="none" w:sz="0" w:space="0" w:color="auto"/>
          </w:divBdr>
          <w:divsChild>
            <w:div w:id="240456101">
              <w:marLeft w:val="0"/>
              <w:marRight w:val="0"/>
              <w:marTop w:val="0"/>
              <w:marBottom w:val="0"/>
              <w:divBdr>
                <w:top w:val="none" w:sz="0" w:space="0" w:color="auto"/>
                <w:left w:val="none" w:sz="0" w:space="0" w:color="auto"/>
                <w:bottom w:val="none" w:sz="0" w:space="0" w:color="auto"/>
                <w:right w:val="none" w:sz="0" w:space="0" w:color="auto"/>
              </w:divBdr>
              <w:divsChild>
                <w:div w:id="89738613">
                  <w:marLeft w:val="0"/>
                  <w:marRight w:val="0"/>
                  <w:marTop w:val="0"/>
                  <w:marBottom w:val="0"/>
                  <w:divBdr>
                    <w:top w:val="none" w:sz="0" w:space="0" w:color="auto"/>
                    <w:left w:val="none" w:sz="0" w:space="0" w:color="auto"/>
                    <w:bottom w:val="none" w:sz="0" w:space="0" w:color="auto"/>
                    <w:right w:val="none" w:sz="0" w:space="0" w:color="auto"/>
                  </w:divBdr>
                  <w:divsChild>
                    <w:div w:id="9460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974790">
      <w:bodyDiv w:val="1"/>
      <w:marLeft w:val="0"/>
      <w:marRight w:val="0"/>
      <w:marTop w:val="0"/>
      <w:marBottom w:val="0"/>
      <w:divBdr>
        <w:top w:val="none" w:sz="0" w:space="0" w:color="auto"/>
        <w:left w:val="none" w:sz="0" w:space="0" w:color="auto"/>
        <w:bottom w:val="none" w:sz="0" w:space="0" w:color="auto"/>
        <w:right w:val="none" w:sz="0" w:space="0" w:color="auto"/>
      </w:divBdr>
    </w:div>
    <w:div w:id="748311320">
      <w:bodyDiv w:val="1"/>
      <w:marLeft w:val="0"/>
      <w:marRight w:val="0"/>
      <w:marTop w:val="0"/>
      <w:marBottom w:val="0"/>
      <w:divBdr>
        <w:top w:val="none" w:sz="0" w:space="0" w:color="auto"/>
        <w:left w:val="none" w:sz="0" w:space="0" w:color="auto"/>
        <w:bottom w:val="none" w:sz="0" w:space="0" w:color="auto"/>
        <w:right w:val="none" w:sz="0" w:space="0" w:color="auto"/>
      </w:divBdr>
      <w:divsChild>
        <w:div w:id="589462178">
          <w:marLeft w:val="0"/>
          <w:marRight w:val="0"/>
          <w:marTop w:val="0"/>
          <w:marBottom w:val="0"/>
          <w:divBdr>
            <w:top w:val="none" w:sz="0" w:space="0" w:color="auto"/>
            <w:left w:val="none" w:sz="0" w:space="0" w:color="auto"/>
            <w:bottom w:val="none" w:sz="0" w:space="0" w:color="auto"/>
            <w:right w:val="none" w:sz="0" w:space="0" w:color="auto"/>
          </w:divBdr>
          <w:divsChild>
            <w:div w:id="612981440">
              <w:marLeft w:val="0"/>
              <w:marRight w:val="0"/>
              <w:marTop w:val="0"/>
              <w:marBottom w:val="0"/>
              <w:divBdr>
                <w:top w:val="none" w:sz="0" w:space="0" w:color="auto"/>
                <w:left w:val="none" w:sz="0" w:space="0" w:color="auto"/>
                <w:bottom w:val="none" w:sz="0" w:space="0" w:color="auto"/>
                <w:right w:val="none" w:sz="0" w:space="0" w:color="auto"/>
              </w:divBdr>
            </w:div>
          </w:divsChild>
        </w:div>
        <w:div w:id="892042397">
          <w:marLeft w:val="0"/>
          <w:marRight w:val="0"/>
          <w:marTop w:val="0"/>
          <w:marBottom w:val="0"/>
          <w:divBdr>
            <w:top w:val="none" w:sz="0" w:space="0" w:color="auto"/>
            <w:left w:val="none" w:sz="0" w:space="0" w:color="auto"/>
            <w:bottom w:val="none" w:sz="0" w:space="0" w:color="auto"/>
            <w:right w:val="none" w:sz="0" w:space="0" w:color="auto"/>
          </w:divBdr>
          <w:divsChild>
            <w:div w:id="543834345">
              <w:marLeft w:val="0"/>
              <w:marRight w:val="0"/>
              <w:marTop w:val="0"/>
              <w:marBottom w:val="0"/>
              <w:divBdr>
                <w:top w:val="none" w:sz="0" w:space="0" w:color="auto"/>
                <w:left w:val="none" w:sz="0" w:space="0" w:color="auto"/>
                <w:bottom w:val="none" w:sz="0" w:space="0" w:color="auto"/>
                <w:right w:val="none" w:sz="0" w:space="0" w:color="auto"/>
              </w:divBdr>
            </w:div>
          </w:divsChild>
        </w:div>
        <w:div w:id="1256476772">
          <w:marLeft w:val="0"/>
          <w:marRight w:val="0"/>
          <w:marTop w:val="0"/>
          <w:marBottom w:val="0"/>
          <w:divBdr>
            <w:top w:val="none" w:sz="0" w:space="0" w:color="auto"/>
            <w:left w:val="none" w:sz="0" w:space="0" w:color="auto"/>
            <w:bottom w:val="none" w:sz="0" w:space="0" w:color="auto"/>
            <w:right w:val="none" w:sz="0" w:space="0" w:color="auto"/>
          </w:divBdr>
          <w:divsChild>
            <w:div w:id="646906418">
              <w:marLeft w:val="0"/>
              <w:marRight w:val="0"/>
              <w:marTop w:val="0"/>
              <w:marBottom w:val="0"/>
              <w:divBdr>
                <w:top w:val="none" w:sz="0" w:space="0" w:color="auto"/>
                <w:left w:val="none" w:sz="0" w:space="0" w:color="auto"/>
                <w:bottom w:val="none" w:sz="0" w:space="0" w:color="auto"/>
                <w:right w:val="none" w:sz="0" w:space="0" w:color="auto"/>
              </w:divBdr>
            </w:div>
          </w:divsChild>
        </w:div>
        <w:div w:id="1452474389">
          <w:marLeft w:val="0"/>
          <w:marRight w:val="0"/>
          <w:marTop w:val="0"/>
          <w:marBottom w:val="0"/>
          <w:divBdr>
            <w:top w:val="none" w:sz="0" w:space="0" w:color="auto"/>
            <w:left w:val="none" w:sz="0" w:space="0" w:color="auto"/>
            <w:bottom w:val="none" w:sz="0" w:space="0" w:color="auto"/>
            <w:right w:val="none" w:sz="0" w:space="0" w:color="auto"/>
          </w:divBdr>
          <w:divsChild>
            <w:div w:id="12035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41286">
      <w:bodyDiv w:val="1"/>
      <w:marLeft w:val="0"/>
      <w:marRight w:val="0"/>
      <w:marTop w:val="0"/>
      <w:marBottom w:val="0"/>
      <w:divBdr>
        <w:top w:val="none" w:sz="0" w:space="0" w:color="auto"/>
        <w:left w:val="none" w:sz="0" w:space="0" w:color="auto"/>
        <w:bottom w:val="none" w:sz="0" w:space="0" w:color="auto"/>
        <w:right w:val="none" w:sz="0" w:space="0" w:color="auto"/>
      </w:divBdr>
      <w:divsChild>
        <w:div w:id="1564365424">
          <w:marLeft w:val="0"/>
          <w:marRight w:val="0"/>
          <w:marTop w:val="0"/>
          <w:marBottom w:val="0"/>
          <w:divBdr>
            <w:top w:val="none" w:sz="0" w:space="0" w:color="auto"/>
            <w:left w:val="none" w:sz="0" w:space="0" w:color="auto"/>
            <w:bottom w:val="none" w:sz="0" w:space="0" w:color="auto"/>
            <w:right w:val="none" w:sz="0" w:space="0" w:color="auto"/>
          </w:divBdr>
          <w:divsChild>
            <w:div w:id="462308876">
              <w:marLeft w:val="0"/>
              <w:marRight w:val="0"/>
              <w:marTop w:val="0"/>
              <w:marBottom w:val="0"/>
              <w:divBdr>
                <w:top w:val="none" w:sz="0" w:space="0" w:color="auto"/>
                <w:left w:val="none" w:sz="0" w:space="0" w:color="auto"/>
                <w:bottom w:val="none" w:sz="0" w:space="0" w:color="auto"/>
                <w:right w:val="none" w:sz="0" w:space="0" w:color="auto"/>
              </w:divBdr>
              <w:divsChild>
                <w:div w:id="1287345595">
                  <w:marLeft w:val="0"/>
                  <w:marRight w:val="0"/>
                  <w:marTop w:val="0"/>
                  <w:marBottom w:val="0"/>
                  <w:divBdr>
                    <w:top w:val="none" w:sz="0" w:space="0" w:color="auto"/>
                    <w:left w:val="none" w:sz="0" w:space="0" w:color="auto"/>
                    <w:bottom w:val="none" w:sz="0" w:space="0" w:color="auto"/>
                    <w:right w:val="none" w:sz="0" w:space="0" w:color="auto"/>
                  </w:divBdr>
                  <w:divsChild>
                    <w:div w:id="1640107695">
                      <w:marLeft w:val="0"/>
                      <w:marRight w:val="0"/>
                      <w:marTop w:val="0"/>
                      <w:marBottom w:val="0"/>
                      <w:divBdr>
                        <w:top w:val="none" w:sz="0" w:space="0" w:color="auto"/>
                        <w:left w:val="none" w:sz="0" w:space="0" w:color="auto"/>
                        <w:bottom w:val="none" w:sz="0" w:space="0" w:color="auto"/>
                        <w:right w:val="none" w:sz="0" w:space="0" w:color="auto"/>
                      </w:divBdr>
                      <w:divsChild>
                        <w:div w:id="172260699">
                          <w:marLeft w:val="0"/>
                          <w:marRight w:val="0"/>
                          <w:marTop w:val="0"/>
                          <w:marBottom w:val="0"/>
                          <w:divBdr>
                            <w:top w:val="none" w:sz="0" w:space="0" w:color="auto"/>
                            <w:left w:val="none" w:sz="0" w:space="0" w:color="auto"/>
                            <w:bottom w:val="none" w:sz="0" w:space="0" w:color="auto"/>
                            <w:right w:val="none" w:sz="0" w:space="0" w:color="auto"/>
                          </w:divBdr>
                          <w:divsChild>
                            <w:div w:id="101999183">
                              <w:marLeft w:val="0"/>
                              <w:marRight w:val="0"/>
                              <w:marTop w:val="0"/>
                              <w:marBottom w:val="0"/>
                              <w:divBdr>
                                <w:top w:val="none" w:sz="0" w:space="0" w:color="auto"/>
                                <w:left w:val="none" w:sz="0" w:space="0" w:color="auto"/>
                                <w:bottom w:val="none" w:sz="0" w:space="0" w:color="auto"/>
                                <w:right w:val="none" w:sz="0" w:space="0" w:color="auto"/>
                              </w:divBdr>
                              <w:divsChild>
                                <w:div w:id="1265530244">
                                  <w:marLeft w:val="0"/>
                                  <w:marRight w:val="0"/>
                                  <w:marTop w:val="0"/>
                                  <w:marBottom w:val="0"/>
                                  <w:divBdr>
                                    <w:top w:val="none" w:sz="0" w:space="0" w:color="auto"/>
                                    <w:left w:val="none" w:sz="0" w:space="0" w:color="auto"/>
                                    <w:bottom w:val="none" w:sz="0" w:space="0" w:color="auto"/>
                                    <w:right w:val="none" w:sz="0" w:space="0" w:color="auto"/>
                                  </w:divBdr>
                                  <w:divsChild>
                                    <w:div w:id="17233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40766">
                          <w:marLeft w:val="0"/>
                          <w:marRight w:val="0"/>
                          <w:marTop w:val="0"/>
                          <w:marBottom w:val="0"/>
                          <w:divBdr>
                            <w:top w:val="none" w:sz="0" w:space="0" w:color="auto"/>
                            <w:left w:val="none" w:sz="0" w:space="0" w:color="auto"/>
                            <w:bottom w:val="none" w:sz="0" w:space="0" w:color="auto"/>
                            <w:right w:val="none" w:sz="0" w:space="0" w:color="auto"/>
                          </w:divBdr>
                          <w:divsChild>
                            <w:div w:id="1828739994">
                              <w:marLeft w:val="0"/>
                              <w:marRight w:val="0"/>
                              <w:marTop w:val="0"/>
                              <w:marBottom w:val="0"/>
                              <w:divBdr>
                                <w:top w:val="none" w:sz="0" w:space="0" w:color="auto"/>
                                <w:left w:val="none" w:sz="0" w:space="0" w:color="auto"/>
                                <w:bottom w:val="none" w:sz="0" w:space="0" w:color="auto"/>
                                <w:right w:val="none" w:sz="0" w:space="0" w:color="auto"/>
                              </w:divBdr>
                              <w:divsChild>
                                <w:div w:id="12444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462745">
      <w:bodyDiv w:val="1"/>
      <w:marLeft w:val="0"/>
      <w:marRight w:val="0"/>
      <w:marTop w:val="0"/>
      <w:marBottom w:val="0"/>
      <w:divBdr>
        <w:top w:val="none" w:sz="0" w:space="0" w:color="auto"/>
        <w:left w:val="none" w:sz="0" w:space="0" w:color="auto"/>
        <w:bottom w:val="none" w:sz="0" w:space="0" w:color="auto"/>
        <w:right w:val="none" w:sz="0" w:space="0" w:color="auto"/>
      </w:divBdr>
      <w:divsChild>
        <w:div w:id="1614628556">
          <w:marLeft w:val="0"/>
          <w:marRight w:val="0"/>
          <w:marTop w:val="0"/>
          <w:marBottom w:val="0"/>
          <w:divBdr>
            <w:top w:val="none" w:sz="0" w:space="0" w:color="auto"/>
            <w:left w:val="none" w:sz="0" w:space="0" w:color="auto"/>
            <w:bottom w:val="none" w:sz="0" w:space="0" w:color="auto"/>
            <w:right w:val="none" w:sz="0" w:space="0" w:color="auto"/>
          </w:divBdr>
          <w:divsChild>
            <w:div w:id="506216465">
              <w:marLeft w:val="0"/>
              <w:marRight w:val="0"/>
              <w:marTop w:val="0"/>
              <w:marBottom w:val="0"/>
              <w:divBdr>
                <w:top w:val="none" w:sz="0" w:space="0" w:color="auto"/>
                <w:left w:val="none" w:sz="0" w:space="0" w:color="auto"/>
                <w:bottom w:val="none" w:sz="0" w:space="0" w:color="auto"/>
                <w:right w:val="none" w:sz="0" w:space="0" w:color="auto"/>
              </w:divBdr>
              <w:divsChild>
                <w:div w:id="852187516">
                  <w:marLeft w:val="0"/>
                  <w:marRight w:val="0"/>
                  <w:marTop w:val="0"/>
                  <w:marBottom w:val="0"/>
                  <w:divBdr>
                    <w:top w:val="none" w:sz="0" w:space="0" w:color="auto"/>
                    <w:left w:val="none" w:sz="0" w:space="0" w:color="auto"/>
                    <w:bottom w:val="none" w:sz="0" w:space="0" w:color="auto"/>
                    <w:right w:val="none" w:sz="0" w:space="0" w:color="auto"/>
                  </w:divBdr>
                  <w:divsChild>
                    <w:div w:id="1245146718">
                      <w:marLeft w:val="0"/>
                      <w:marRight w:val="0"/>
                      <w:marTop w:val="0"/>
                      <w:marBottom w:val="0"/>
                      <w:divBdr>
                        <w:top w:val="none" w:sz="0" w:space="0" w:color="auto"/>
                        <w:left w:val="none" w:sz="0" w:space="0" w:color="auto"/>
                        <w:bottom w:val="none" w:sz="0" w:space="0" w:color="auto"/>
                        <w:right w:val="none" w:sz="0" w:space="0" w:color="auto"/>
                      </w:divBdr>
                      <w:divsChild>
                        <w:div w:id="370956880">
                          <w:marLeft w:val="0"/>
                          <w:marRight w:val="0"/>
                          <w:marTop w:val="0"/>
                          <w:marBottom w:val="0"/>
                          <w:divBdr>
                            <w:top w:val="none" w:sz="0" w:space="0" w:color="auto"/>
                            <w:left w:val="none" w:sz="0" w:space="0" w:color="auto"/>
                            <w:bottom w:val="none" w:sz="0" w:space="0" w:color="auto"/>
                            <w:right w:val="none" w:sz="0" w:space="0" w:color="auto"/>
                          </w:divBdr>
                          <w:divsChild>
                            <w:div w:id="551043747">
                              <w:marLeft w:val="0"/>
                              <w:marRight w:val="0"/>
                              <w:marTop w:val="0"/>
                              <w:marBottom w:val="0"/>
                              <w:divBdr>
                                <w:top w:val="none" w:sz="0" w:space="0" w:color="auto"/>
                                <w:left w:val="none" w:sz="0" w:space="0" w:color="auto"/>
                                <w:bottom w:val="none" w:sz="0" w:space="0" w:color="auto"/>
                                <w:right w:val="none" w:sz="0" w:space="0" w:color="auto"/>
                              </w:divBdr>
                              <w:divsChild>
                                <w:div w:id="74017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07342">
                          <w:marLeft w:val="0"/>
                          <w:marRight w:val="0"/>
                          <w:marTop w:val="0"/>
                          <w:marBottom w:val="0"/>
                          <w:divBdr>
                            <w:top w:val="none" w:sz="0" w:space="0" w:color="auto"/>
                            <w:left w:val="none" w:sz="0" w:space="0" w:color="auto"/>
                            <w:bottom w:val="none" w:sz="0" w:space="0" w:color="auto"/>
                            <w:right w:val="none" w:sz="0" w:space="0" w:color="auto"/>
                          </w:divBdr>
                          <w:divsChild>
                            <w:div w:id="530530119">
                              <w:marLeft w:val="0"/>
                              <w:marRight w:val="0"/>
                              <w:marTop w:val="0"/>
                              <w:marBottom w:val="0"/>
                              <w:divBdr>
                                <w:top w:val="none" w:sz="0" w:space="0" w:color="auto"/>
                                <w:left w:val="none" w:sz="0" w:space="0" w:color="auto"/>
                                <w:bottom w:val="none" w:sz="0" w:space="0" w:color="auto"/>
                                <w:right w:val="none" w:sz="0" w:space="0" w:color="auto"/>
                              </w:divBdr>
                              <w:divsChild>
                                <w:div w:id="1182357100">
                                  <w:marLeft w:val="0"/>
                                  <w:marRight w:val="0"/>
                                  <w:marTop w:val="0"/>
                                  <w:marBottom w:val="0"/>
                                  <w:divBdr>
                                    <w:top w:val="none" w:sz="0" w:space="0" w:color="auto"/>
                                    <w:left w:val="none" w:sz="0" w:space="0" w:color="auto"/>
                                    <w:bottom w:val="none" w:sz="0" w:space="0" w:color="auto"/>
                                    <w:right w:val="none" w:sz="0" w:space="0" w:color="auto"/>
                                  </w:divBdr>
                                  <w:divsChild>
                                    <w:div w:id="13666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598949">
      <w:bodyDiv w:val="1"/>
      <w:marLeft w:val="0"/>
      <w:marRight w:val="0"/>
      <w:marTop w:val="0"/>
      <w:marBottom w:val="0"/>
      <w:divBdr>
        <w:top w:val="none" w:sz="0" w:space="0" w:color="auto"/>
        <w:left w:val="none" w:sz="0" w:space="0" w:color="auto"/>
        <w:bottom w:val="none" w:sz="0" w:space="0" w:color="auto"/>
        <w:right w:val="none" w:sz="0" w:space="0" w:color="auto"/>
      </w:divBdr>
    </w:div>
    <w:div w:id="815147816">
      <w:bodyDiv w:val="1"/>
      <w:marLeft w:val="0"/>
      <w:marRight w:val="0"/>
      <w:marTop w:val="0"/>
      <w:marBottom w:val="0"/>
      <w:divBdr>
        <w:top w:val="none" w:sz="0" w:space="0" w:color="auto"/>
        <w:left w:val="none" w:sz="0" w:space="0" w:color="auto"/>
        <w:bottom w:val="none" w:sz="0" w:space="0" w:color="auto"/>
        <w:right w:val="none" w:sz="0" w:space="0" w:color="auto"/>
      </w:divBdr>
    </w:div>
    <w:div w:id="831799002">
      <w:bodyDiv w:val="1"/>
      <w:marLeft w:val="0"/>
      <w:marRight w:val="0"/>
      <w:marTop w:val="0"/>
      <w:marBottom w:val="0"/>
      <w:divBdr>
        <w:top w:val="none" w:sz="0" w:space="0" w:color="auto"/>
        <w:left w:val="none" w:sz="0" w:space="0" w:color="auto"/>
        <w:bottom w:val="none" w:sz="0" w:space="0" w:color="auto"/>
        <w:right w:val="none" w:sz="0" w:space="0" w:color="auto"/>
      </w:divBdr>
      <w:divsChild>
        <w:div w:id="1879930472">
          <w:marLeft w:val="0"/>
          <w:marRight w:val="0"/>
          <w:marTop w:val="0"/>
          <w:marBottom w:val="0"/>
          <w:divBdr>
            <w:top w:val="none" w:sz="0" w:space="0" w:color="auto"/>
            <w:left w:val="none" w:sz="0" w:space="0" w:color="auto"/>
            <w:bottom w:val="none" w:sz="0" w:space="0" w:color="auto"/>
            <w:right w:val="none" w:sz="0" w:space="0" w:color="auto"/>
          </w:divBdr>
          <w:divsChild>
            <w:div w:id="597107110">
              <w:marLeft w:val="0"/>
              <w:marRight w:val="0"/>
              <w:marTop w:val="0"/>
              <w:marBottom w:val="0"/>
              <w:divBdr>
                <w:top w:val="none" w:sz="0" w:space="0" w:color="auto"/>
                <w:left w:val="none" w:sz="0" w:space="0" w:color="auto"/>
                <w:bottom w:val="none" w:sz="0" w:space="0" w:color="auto"/>
                <w:right w:val="none" w:sz="0" w:space="0" w:color="auto"/>
              </w:divBdr>
              <w:divsChild>
                <w:div w:id="1690909761">
                  <w:marLeft w:val="0"/>
                  <w:marRight w:val="0"/>
                  <w:marTop w:val="0"/>
                  <w:marBottom w:val="0"/>
                  <w:divBdr>
                    <w:top w:val="none" w:sz="0" w:space="0" w:color="auto"/>
                    <w:left w:val="none" w:sz="0" w:space="0" w:color="auto"/>
                    <w:bottom w:val="none" w:sz="0" w:space="0" w:color="auto"/>
                    <w:right w:val="none" w:sz="0" w:space="0" w:color="auto"/>
                  </w:divBdr>
                  <w:divsChild>
                    <w:div w:id="7470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785781">
      <w:bodyDiv w:val="1"/>
      <w:marLeft w:val="0"/>
      <w:marRight w:val="0"/>
      <w:marTop w:val="0"/>
      <w:marBottom w:val="0"/>
      <w:divBdr>
        <w:top w:val="none" w:sz="0" w:space="0" w:color="auto"/>
        <w:left w:val="none" w:sz="0" w:space="0" w:color="auto"/>
        <w:bottom w:val="none" w:sz="0" w:space="0" w:color="auto"/>
        <w:right w:val="none" w:sz="0" w:space="0" w:color="auto"/>
      </w:divBdr>
      <w:divsChild>
        <w:div w:id="2091581868">
          <w:marLeft w:val="0"/>
          <w:marRight w:val="0"/>
          <w:marTop w:val="0"/>
          <w:marBottom w:val="0"/>
          <w:divBdr>
            <w:top w:val="none" w:sz="0" w:space="0" w:color="auto"/>
            <w:left w:val="none" w:sz="0" w:space="0" w:color="auto"/>
            <w:bottom w:val="none" w:sz="0" w:space="0" w:color="auto"/>
            <w:right w:val="none" w:sz="0" w:space="0" w:color="auto"/>
          </w:divBdr>
          <w:divsChild>
            <w:div w:id="1728648470">
              <w:marLeft w:val="0"/>
              <w:marRight w:val="0"/>
              <w:marTop w:val="0"/>
              <w:marBottom w:val="0"/>
              <w:divBdr>
                <w:top w:val="none" w:sz="0" w:space="0" w:color="auto"/>
                <w:left w:val="none" w:sz="0" w:space="0" w:color="auto"/>
                <w:bottom w:val="none" w:sz="0" w:space="0" w:color="auto"/>
                <w:right w:val="none" w:sz="0" w:space="0" w:color="auto"/>
              </w:divBdr>
              <w:divsChild>
                <w:div w:id="519390979">
                  <w:marLeft w:val="0"/>
                  <w:marRight w:val="0"/>
                  <w:marTop w:val="0"/>
                  <w:marBottom w:val="0"/>
                  <w:divBdr>
                    <w:top w:val="none" w:sz="0" w:space="0" w:color="auto"/>
                    <w:left w:val="none" w:sz="0" w:space="0" w:color="auto"/>
                    <w:bottom w:val="none" w:sz="0" w:space="0" w:color="auto"/>
                    <w:right w:val="none" w:sz="0" w:space="0" w:color="auto"/>
                  </w:divBdr>
                  <w:divsChild>
                    <w:div w:id="57284877">
                      <w:marLeft w:val="0"/>
                      <w:marRight w:val="0"/>
                      <w:marTop w:val="0"/>
                      <w:marBottom w:val="0"/>
                      <w:divBdr>
                        <w:top w:val="none" w:sz="0" w:space="0" w:color="auto"/>
                        <w:left w:val="none" w:sz="0" w:space="0" w:color="auto"/>
                        <w:bottom w:val="none" w:sz="0" w:space="0" w:color="auto"/>
                        <w:right w:val="none" w:sz="0" w:space="0" w:color="auto"/>
                      </w:divBdr>
                      <w:divsChild>
                        <w:div w:id="121846241">
                          <w:marLeft w:val="0"/>
                          <w:marRight w:val="0"/>
                          <w:marTop w:val="0"/>
                          <w:marBottom w:val="0"/>
                          <w:divBdr>
                            <w:top w:val="none" w:sz="0" w:space="0" w:color="auto"/>
                            <w:left w:val="none" w:sz="0" w:space="0" w:color="auto"/>
                            <w:bottom w:val="none" w:sz="0" w:space="0" w:color="auto"/>
                            <w:right w:val="none" w:sz="0" w:space="0" w:color="auto"/>
                          </w:divBdr>
                          <w:divsChild>
                            <w:div w:id="1640720465">
                              <w:marLeft w:val="0"/>
                              <w:marRight w:val="0"/>
                              <w:marTop w:val="0"/>
                              <w:marBottom w:val="0"/>
                              <w:divBdr>
                                <w:top w:val="none" w:sz="0" w:space="0" w:color="auto"/>
                                <w:left w:val="none" w:sz="0" w:space="0" w:color="auto"/>
                                <w:bottom w:val="none" w:sz="0" w:space="0" w:color="auto"/>
                                <w:right w:val="none" w:sz="0" w:space="0" w:color="auto"/>
                              </w:divBdr>
                              <w:divsChild>
                                <w:div w:id="2625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77460">
                          <w:marLeft w:val="0"/>
                          <w:marRight w:val="0"/>
                          <w:marTop w:val="0"/>
                          <w:marBottom w:val="0"/>
                          <w:divBdr>
                            <w:top w:val="none" w:sz="0" w:space="0" w:color="auto"/>
                            <w:left w:val="none" w:sz="0" w:space="0" w:color="auto"/>
                            <w:bottom w:val="none" w:sz="0" w:space="0" w:color="auto"/>
                            <w:right w:val="none" w:sz="0" w:space="0" w:color="auto"/>
                          </w:divBdr>
                          <w:divsChild>
                            <w:div w:id="94710724">
                              <w:marLeft w:val="0"/>
                              <w:marRight w:val="0"/>
                              <w:marTop w:val="0"/>
                              <w:marBottom w:val="0"/>
                              <w:divBdr>
                                <w:top w:val="none" w:sz="0" w:space="0" w:color="auto"/>
                                <w:left w:val="none" w:sz="0" w:space="0" w:color="auto"/>
                                <w:bottom w:val="none" w:sz="0" w:space="0" w:color="auto"/>
                                <w:right w:val="none" w:sz="0" w:space="0" w:color="auto"/>
                              </w:divBdr>
                              <w:divsChild>
                                <w:div w:id="1249651682">
                                  <w:marLeft w:val="0"/>
                                  <w:marRight w:val="0"/>
                                  <w:marTop w:val="0"/>
                                  <w:marBottom w:val="0"/>
                                  <w:divBdr>
                                    <w:top w:val="none" w:sz="0" w:space="0" w:color="auto"/>
                                    <w:left w:val="none" w:sz="0" w:space="0" w:color="auto"/>
                                    <w:bottom w:val="none" w:sz="0" w:space="0" w:color="auto"/>
                                    <w:right w:val="none" w:sz="0" w:space="0" w:color="auto"/>
                                  </w:divBdr>
                                  <w:divsChild>
                                    <w:div w:id="296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293735">
      <w:bodyDiv w:val="1"/>
      <w:marLeft w:val="0"/>
      <w:marRight w:val="0"/>
      <w:marTop w:val="0"/>
      <w:marBottom w:val="0"/>
      <w:divBdr>
        <w:top w:val="none" w:sz="0" w:space="0" w:color="auto"/>
        <w:left w:val="none" w:sz="0" w:space="0" w:color="auto"/>
        <w:bottom w:val="none" w:sz="0" w:space="0" w:color="auto"/>
        <w:right w:val="none" w:sz="0" w:space="0" w:color="auto"/>
      </w:divBdr>
    </w:div>
    <w:div w:id="941381456">
      <w:bodyDiv w:val="1"/>
      <w:marLeft w:val="0"/>
      <w:marRight w:val="0"/>
      <w:marTop w:val="0"/>
      <w:marBottom w:val="0"/>
      <w:divBdr>
        <w:top w:val="none" w:sz="0" w:space="0" w:color="auto"/>
        <w:left w:val="none" w:sz="0" w:space="0" w:color="auto"/>
        <w:bottom w:val="none" w:sz="0" w:space="0" w:color="auto"/>
        <w:right w:val="none" w:sz="0" w:space="0" w:color="auto"/>
      </w:divBdr>
      <w:divsChild>
        <w:div w:id="973212583">
          <w:marLeft w:val="0"/>
          <w:marRight w:val="0"/>
          <w:marTop w:val="0"/>
          <w:marBottom w:val="0"/>
          <w:divBdr>
            <w:top w:val="none" w:sz="0" w:space="0" w:color="auto"/>
            <w:left w:val="none" w:sz="0" w:space="0" w:color="auto"/>
            <w:bottom w:val="none" w:sz="0" w:space="0" w:color="auto"/>
            <w:right w:val="none" w:sz="0" w:space="0" w:color="auto"/>
          </w:divBdr>
        </w:div>
        <w:div w:id="1991247133">
          <w:marLeft w:val="0"/>
          <w:marRight w:val="0"/>
          <w:marTop w:val="0"/>
          <w:marBottom w:val="0"/>
          <w:divBdr>
            <w:top w:val="none" w:sz="0" w:space="0" w:color="auto"/>
            <w:left w:val="none" w:sz="0" w:space="0" w:color="auto"/>
            <w:bottom w:val="none" w:sz="0" w:space="0" w:color="auto"/>
            <w:right w:val="none" w:sz="0" w:space="0" w:color="auto"/>
          </w:divBdr>
        </w:div>
        <w:div w:id="2056154458">
          <w:marLeft w:val="0"/>
          <w:marRight w:val="0"/>
          <w:marTop w:val="0"/>
          <w:marBottom w:val="0"/>
          <w:divBdr>
            <w:top w:val="none" w:sz="0" w:space="0" w:color="auto"/>
            <w:left w:val="none" w:sz="0" w:space="0" w:color="auto"/>
            <w:bottom w:val="none" w:sz="0" w:space="0" w:color="auto"/>
            <w:right w:val="none" w:sz="0" w:space="0" w:color="auto"/>
          </w:divBdr>
        </w:div>
      </w:divsChild>
    </w:div>
    <w:div w:id="955335556">
      <w:bodyDiv w:val="1"/>
      <w:marLeft w:val="0"/>
      <w:marRight w:val="0"/>
      <w:marTop w:val="0"/>
      <w:marBottom w:val="0"/>
      <w:divBdr>
        <w:top w:val="none" w:sz="0" w:space="0" w:color="auto"/>
        <w:left w:val="none" w:sz="0" w:space="0" w:color="auto"/>
        <w:bottom w:val="none" w:sz="0" w:space="0" w:color="auto"/>
        <w:right w:val="none" w:sz="0" w:space="0" w:color="auto"/>
      </w:divBdr>
      <w:divsChild>
        <w:div w:id="429088606">
          <w:marLeft w:val="0"/>
          <w:marRight w:val="0"/>
          <w:marTop w:val="0"/>
          <w:marBottom w:val="0"/>
          <w:divBdr>
            <w:top w:val="none" w:sz="0" w:space="0" w:color="auto"/>
            <w:left w:val="none" w:sz="0" w:space="0" w:color="auto"/>
            <w:bottom w:val="none" w:sz="0" w:space="0" w:color="auto"/>
            <w:right w:val="none" w:sz="0" w:space="0" w:color="auto"/>
          </w:divBdr>
          <w:divsChild>
            <w:div w:id="786586137">
              <w:marLeft w:val="0"/>
              <w:marRight w:val="0"/>
              <w:marTop w:val="0"/>
              <w:marBottom w:val="0"/>
              <w:divBdr>
                <w:top w:val="none" w:sz="0" w:space="0" w:color="auto"/>
                <w:left w:val="none" w:sz="0" w:space="0" w:color="auto"/>
                <w:bottom w:val="none" w:sz="0" w:space="0" w:color="auto"/>
                <w:right w:val="none" w:sz="0" w:space="0" w:color="auto"/>
              </w:divBdr>
            </w:div>
          </w:divsChild>
        </w:div>
        <w:div w:id="694310334">
          <w:marLeft w:val="0"/>
          <w:marRight w:val="0"/>
          <w:marTop w:val="0"/>
          <w:marBottom w:val="0"/>
          <w:divBdr>
            <w:top w:val="none" w:sz="0" w:space="0" w:color="auto"/>
            <w:left w:val="none" w:sz="0" w:space="0" w:color="auto"/>
            <w:bottom w:val="none" w:sz="0" w:space="0" w:color="auto"/>
            <w:right w:val="none" w:sz="0" w:space="0" w:color="auto"/>
          </w:divBdr>
          <w:divsChild>
            <w:div w:id="967593210">
              <w:marLeft w:val="0"/>
              <w:marRight w:val="0"/>
              <w:marTop w:val="0"/>
              <w:marBottom w:val="0"/>
              <w:divBdr>
                <w:top w:val="none" w:sz="0" w:space="0" w:color="auto"/>
                <w:left w:val="none" w:sz="0" w:space="0" w:color="auto"/>
                <w:bottom w:val="none" w:sz="0" w:space="0" w:color="auto"/>
                <w:right w:val="none" w:sz="0" w:space="0" w:color="auto"/>
              </w:divBdr>
            </w:div>
          </w:divsChild>
        </w:div>
        <w:div w:id="1076051930">
          <w:marLeft w:val="0"/>
          <w:marRight w:val="0"/>
          <w:marTop w:val="0"/>
          <w:marBottom w:val="0"/>
          <w:divBdr>
            <w:top w:val="none" w:sz="0" w:space="0" w:color="auto"/>
            <w:left w:val="none" w:sz="0" w:space="0" w:color="auto"/>
            <w:bottom w:val="none" w:sz="0" w:space="0" w:color="auto"/>
            <w:right w:val="none" w:sz="0" w:space="0" w:color="auto"/>
          </w:divBdr>
          <w:divsChild>
            <w:div w:id="1404569148">
              <w:marLeft w:val="0"/>
              <w:marRight w:val="0"/>
              <w:marTop w:val="0"/>
              <w:marBottom w:val="0"/>
              <w:divBdr>
                <w:top w:val="none" w:sz="0" w:space="0" w:color="auto"/>
                <w:left w:val="none" w:sz="0" w:space="0" w:color="auto"/>
                <w:bottom w:val="none" w:sz="0" w:space="0" w:color="auto"/>
                <w:right w:val="none" w:sz="0" w:space="0" w:color="auto"/>
              </w:divBdr>
            </w:div>
          </w:divsChild>
        </w:div>
        <w:div w:id="1691102891">
          <w:marLeft w:val="0"/>
          <w:marRight w:val="0"/>
          <w:marTop w:val="0"/>
          <w:marBottom w:val="0"/>
          <w:divBdr>
            <w:top w:val="none" w:sz="0" w:space="0" w:color="auto"/>
            <w:left w:val="none" w:sz="0" w:space="0" w:color="auto"/>
            <w:bottom w:val="none" w:sz="0" w:space="0" w:color="auto"/>
            <w:right w:val="none" w:sz="0" w:space="0" w:color="auto"/>
          </w:divBdr>
          <w:divsChild>
            <w:div w:id="121172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8560">
      <w:bodyDiv w:val="1"/>
      <w:marLeft w:val="0"/>
      <w:marRight w:val="0"/>
      <w:marTop w:val="0"/>
      <w:marBottom w:val="0"/>
      <w:divBdr>
        <w:top w:val="none" w:sz="0" w:space="0" w:color="auto"/>
        <w:left w:val="none" w:sz="0" w:space="0" w:color="auto"/>
        <w:bottom w:val="none" w:sz="0" w:space="0" w:color="auto"/>
        <w:right w:val="none" w:sz="0" w:space="0" w:color="auto"/>
      </w:divBdr>
    </w:div>
    <w:div w:id="1062755505">
      <w:bodyDiv w:val="1"/>
      <w:marLeft w:val="0"/>
      <w:marRight w:val="0"/>
      <w:marTop w:val="0"/>
      <w:marBottom w:val="0"/>
      <w:divBdr>
        <w:top w:val="none" w:sz="0" w:space="0" w:color="auto"/>
        <w:left w:val="none" w:sz="0" w:space="0" w:color="auto"/>
        <w:bottom w:val="none" w:sz="0" w:space="0" w:color="auto"/>
        <w:right w:val="none" w:sz="0" w:space="0" w:color="auto"/>
      </w:divBdr>
      <w:divsChild>
        <w:div w:id="2056001509">
          <w:marLeft w:val="0"/>
          <w:marRight w:val="0"/>
          <w:marTop w:val="0"/>
          <w:marBottom w:val="0"/>
          <w:divBdr>
            <w:top w:val="single" w:sz="2" w:space="0" w:color="auto"/>
            <w:left w:val="single" w:sz="2" w:space="0" w:color="auto"/>
            <w:bottom w:val="single" w:sz="2" w:space="0" w:color="auto"/>
            <w:right w:val="single" w:sz="2" w:space="0" w:color="auto"/>
          </w:divBdr>
          <w:divsChild>
            <w:div w:id="2020427087">
              <w:marLeft w:val="0"/>
              <w:marRight w:val="0"/>
              <w:marTop w:val="0"/>
              <w:marBottom w:val="0"/>
              <w:divBdr>
                <w:top w:val="single" w:sz="2" w:space="0" w:color="auto"/>
                <w:left w:val="single" w:sz="2" w:space="0" w:color="auto"/>
                <w:bottom w:val="single" w:sz="2" w:space="0" w:color="auto"/>
                <w:right w:val="single" w:sz="2" w:space="0" w:color="auto"/>
              </w:divBdr>
              <w:divsChild>
                <w:div w:id="1536575403">
                  <w:marLeft w:val="0"/>
                  <w:marRight w:val="0"/>
                  <w:marTop w:val="0"/>
                  <w:marBottom w:val="0"/>
                  <w:divBdr>
                    <w:top w:val="single" w:sz="2" w:space="0" w:color="auto"/>
                    <w:left w:val="single" w:sz="2" w:space="0" w:color="auto"/>
                    <w:bottom w:val="single" w:sz="2" w:space="0" w:color="auto"/>
                    <w:right w:val="single" w:sz="2" w:space="0" w:color="auto"/>
                  </w:divBdr>
                  <w:divsChild>
                    <w:div w:id="1095008170">
                      <w:marLeft w:val="0"/>
                      <w:marRight w:val="0"/>
                      <w:marTop w:val="0"/>
                      <w:marBottom w:val="0"/>
                      <w:divBdr>
                        <w:top w:val="single" w:sz="2" w:space="0" w:color="auto"/>
                        <w:left w:val="single" w:sz="2" w:space="0" w:color="auto"/>
                        <w:bottom w:val="single" w:sz="2" w:space="0" w:color="auto"/>
                        <w:right w:val="single" w:sz="2" w:space="0" w:color="auto"/>
                      </w:divBdr>
                      <w:divsChild>
                        <w:div w:id="538201599">
                          <w:marLeft w:val="0"/>
                          <w:marRight w:val="0"/>
                          <w:marTop w:val="0"/>
                          <w:marBottom w:val="0"/>
                          <w:divBdr>
                            <w:top w:val="single" w:sz="2" w:space="0" w:color="auto"/>
                            <w:left w:val="single" w:sz="2" w:space="0" w:color="auto"/>
                            <w:bottom w:val="single" w:sz="2" w:space="0" w:color="auto"/>
                            <w:right w:val="single" w:sz="2" w:space="0" w:color="auto"/>
                          </w:divBdr>
                          <w:divsChild>
                            <w:div w:id="1125855196">
                              <w:marLeft w:val="0"/>
                              <w:marRight w:val="0"/>
                              <w:marTop w:val="0"/>
                              <w:marBottom w:val="0"/>
                              <w:divBdr>
                                <w:top w:val="single" w:sz="2" w:space="0" w:color="auto"/>
                                <w:left w:val="single" w:sz="2" w:space="0" w:color="auto"/>
                                <w:bottom w:val="single" w:sz="2" w:space="0" w:color="auto"/>
                                <w:right w:val="single" w:sz="2" w:space="0" w:color="auto"/>
                              </w:divBdr>
                              <w:divsChild>
                                <w:div w:id="1238785442">
                                  <w:marLeft w:val="0"/>
                                  <w:marRight w:val="0"/>
                                  <w:marTop w:val="0"/>
                                  <w:marBottom w:val="0"/>
                                  <w:divBdr>
                                    <w:top w:val="single" w:sz="2" w:space="2" w:color="auto"/>
                                    <w:left w:val="single" w:sz="2" w:space="0" w:color="auto"/>
                                    <w:bottom w:val="single" w:sz="2" w:space="0" w:color="auto"/>
                                    <w:right w:val="single" w:sz="2" w:space="0" w:color="auto"/>
                                  </w:divBdr>
                                  <w:divsChild>
                                    <w:div w:id="20968960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110780530">
      <w:bodyDiv w:val="1"/>
      <w:marLeft w:val="0"/>
      <w:marRight w:val="0"/>
      <w:marTop w:val="0"/>
      <w:marBottom w:val="0"/>
      <w:divBdr>
        <w:top w:val="none" w:sz="0" w:space="0" w:color="auto"/>
        <w:left w:val="none" w:sz="0" w:space="0" w:color="auto"/>
        <w:bottom w:val="none" w:sz="0" w:space="0" w:color="auto"/>
        <w:right w:val="none" w:sz="0" w:space="0" w:color="auto"/>
      </w:divBdr>
      <w:divsChild>
        <w:div w:id="525407392">
          <w:marLeft w:val="0"/>
          <w:marRight w:val="0"/>
          <w:marTop w:val="0"/>
          <w:marBottom w:val="0"/>
          <w:divBdr>
            <w:top w:val="none" w:sz="0" w:space="0" w:color="auto"/>
            <w:left w:val="none" w:sz="0" w:space="0" w:color="auto"/>
            <w:bottom w:val="none" w:sz="0" w:space="0" w:color="auto"/>
            <w:right w:val="none" w:sz="0" w:space="0" w:color="auto"/>
          </w:divBdr>
          <w:divsChild>
            <w:div w:id="1890460295">
              <w:marLeft w:val="0"/>
              <w:marRight w:val="0"/>
              <w:marTop w:val="0"/>
              <w:marBottom w:val="0"/>
              <w:divBdr>
                <w:top w:val="none" w:sz="0" w:space="0" w:color="auto"/>
                <w:left w:val="none" w:sz="0" w:space="0" w:color="auto"/>
                <w:bottom w:val="none" w:sz="0" w:space="0" w:color="auto"/>
                <w:right w:val="none" w:sz="0" w:space="0" w:color="auto"/>
              </w:divBdr>
              <w:divsChild>
                <w:div w:id="1959681794">
                  <w:marLeft w:val="0"/>
                  <w:marRight w:val="0"/>
                  <w:marTop w:val="0"/>
                  <w:marBottom w:val="0"/>
                  <w:divBdr>
                    <w:top w:val="none" w:sz="0" w:space="0" w:color="auto"/>
                    <w:left w:val="none" w:sz="0" w:space="0" w:color="auto"/>
                    <w:bottom w:val="none" w:sz="0" w:space="0" w:color="auto"/>
                    <w:right w:val="none" w:sz="0" w:space="0" w:color="auto"/>
                  </w:divBdr>
                  <w:divsChild>
                    <w:div w:id="1787456839">
                      <w:marLeft w:val="0"/>
                      <w:marRight w:val="0"/>
                      <w:marTop w:val="0"/>
                      <w:marBottom w:val="0"/>
                      <w:divBdr>
                        <w:top w:val="none" w:sz="0" w:space="0" w:color="auto"/>
                        <w:left w:val="none" w:sz="0" w:space="0" w:color="auto"/>
                        <w:bottom w:val="none" w:sz="0" w:space="0" w:color="auto"/>
                        <w:right w:val="none" w:sz="0" w:space="0" w:color="auto"/>
                      </w:divBdr>
                      <w:divsChild>
                        <w:div w:id="831675992">
                          <w:marLeft w:val="0"/>
                          <w:marRight w:val="0"/>
                          <w:marTop w:val="0"/>
                          <w:marBottom w:val="0"/>
                          <w:divBdr>
                            <w:top w:val="none" w:sz="0" w:space="0" w:color="auto"/>
                            <w:left w:val="none" w:sz="0" w:space="0" w:color="auto"/>
                            <w:bottom w:val="none" w:sz="0" w:space="0" w:color="auto"/>
                            <w:right w:val="none" w:sz="0" w:space="0" w:color="auto"/>
                          </w:divBdr>
                          <w:divsChild>
                            <w:div w:id="650906072">
                              <w:marLeft w:val="0"/>
                              <w:marRight w:val="0"/>
                              <w:marTop w:val="0"/>
                              <w:marBottom w:val="0"/>
                              <w:divBdr>
                                <w:top w:val="none" w:sz="0" w:space="0" w:color="auto"/>
                                <w:left w:val="none" w:sz="0" w:space="0" w:color="auto"/>
                                <w:bottom w:val="none" w:sz="0" w:space="0" w:color="auto"/>
                                <w:right w:val="none" w:sz="0" w:space="0" w:color="auto"/>
                              </w:divBdr>
                              <w:divsChild>
                                <w:div w:id="1703824270">
                                  <w:marLeft w:val="0"/>
                                  <w:marRight w:val="0"/>
                                  <w:marTop w:val="0"/>
                                  <w:marBottom w:val="0"/>
                                  <w:divBdr>
                                    <w:top w:val="none" w:sz="0" w:space="0" w:color="auto"/>
                                    <w:left w:val="none" w:sz="0" w:space="0" w:color="auto"/>
                                    <w:bottom w:val="none" w:sz="0" w:space="0" w:color="auto"/>
                                    <w:right w:val="none" w:sz="0" w:space="0" w:color="auto"/>
                                  </w:divBdr>
                                  <w:divsChild>
                                    <w:div w:id="19744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163131">
      <w:bodyDiv w:val="1"/>
      <w:marLeft w:val="0"/>
      <w:marRight w:val="0"/>
      <w:marTop w:val="0"/>
      <w:marBottom w:val="0"/>
      <w:divBdr>
        <w:top w:val="none" w:sz="0" w:space="0" w:color="auto"/>
        <w:left w:val="none" w:sz="0" w:space="0" w:color="auto"/>
        <w:bottom w:val="none" w:sz="0" w:space="0" w:color="auto"/>
        <w:right w:val="none" w:sz="0" w:space="0" w:color="auto"/>
      </w:divBdr>
      <w:divsChild>
        <w:div w:id="769659930">
          <w:marLeft w:val="0"/>
          <w:marRight w:val="0"/>
          <w:marTop w:val="0"/>
          <w:marBottom w:val="0"/>
          <w:divBdr>
            <w:top w:val="none" w:sz="0" w:space="0" w:color="auto"/>
            <w:left w:val="none" w:sz="0" w:space="0" w:color="auto"/>
            <w:bottom w:val="none" w:sz="0" w:space="0" w:color="auto"/>
            <w:right w:val="none" w:sz="0" w:space="0" w:color="auto"/>
          </w:divBdr>
        </w:div>
        <w:div w:id="784738802">
          <w:marLeft w:val="0"/>
          <w:marRight w:val="0"/>
          <w:marTop w:val="0"/>
          <w:marBottom w:val="0"/>
          <w:divBdr>
            <w:top w:val="none" w:sz="0" w:space="0" w:color="auto"/>
            <w:left w:val="none" w:sz="0" w:space="0" w:color="auto"/>
            <w:bottom w:val="none" w:sz="0" w:space="0" w:color="auto"/>
            <w:right w:val="none" w:sz="0" w:space="0" w:color="auto"/>
          </w:divBdr>
        </w:div>
        <w:div w:id="894655875">
          <w:marLeft w:val="0"/>
          <w:marRight w:val="0"/>
          <w:marTop w:val="0"/>
          <w:marBottom w:val="0"/>
          <w:divBdr>
            <w:top w:val="none" w:sz="0" w:space="0" w:color="auto"/>
            <w:left w:val="none" w:sz="0" w:space="0" w:color="auto"/>
            <w:bottom w:val="none" w:sz="0" w:space="0" w:color="auto"/>
            <w:right w:val="none" w:sz="0" w:space="0" w:color="auto"/>
          </w:divBdr>
        </w:div>
        <w:div w:id="1278293945">
          <w:marLeft w:val="0"/>
          <w:marRight w:val="0"/>
          <w:marTop w:val="0"/>
          <w:marBottom w:val="0"/>
          <w:divBdr>
            <w:top w:val="none" w:sz="0" w:space="0" w:color="auto"/>
            <w:left w:val="none" w:sz="0" w:space="0" w:color="auto"/>
            <w:bottom w:val="none" w:sz="0" w:space="0" w:color="auto"/>
            <w:right w:val="none" w:sz="0" w:space="0" w:color="auto"/>
          </w:divBdr>
        </w:div>
        <w:div w:id="1297838432">
          <w:marLeft w:val="0"/>
          <w:marRight w:val="0"/>
          <w:marTop w:val="0"/>
          <w:marBottom w:val="0"/>
          <w:divBdr>
            <w:top w:val="none" w:sz="0" w:space="0" w:color="auto"/>
            <w:left w:val="none" w:sz="0" w:space="0" w:color="auto"/>
            <w:bottom w:val="none" w:sz="0" w:space="0" w:color="auto"/>
            <w:right w:val="none" w:sz="0" w:space="0" w:color="auto"/>
          </w:divBdr>
        </w:div>
        <w:div w:id="1561817700">
          <w:marLeft w:val="0"/>
          <w:marRight w:val="0"/>
          <w:marTop w:val="0"/>
          <w:marBottom w:val="0"/>
          <w:divBdr>
            <w:top w:val="none" w:sz="0" w:space="0" w:color="auto"/>
            <w:left w:val="none" w:sz="0" w:space="0" w:color="auto"/>
            <w:bottom w:val="none" w:sz="0" w:space="0" w:color="auto"/>
            <w:right w:val="none" w:sz="0" w:space="0" w:color="auto"/>
          </w:divBdr>
        </w:div>
        <w:div w:id="1701512769">
          <w:marLeft w:val="0"/>
          <w:marRight w:val="0"/>
          <w:marTop w:val="0"/>
          <w:marBottom w:val="0"/>
          <w:divBdr>
            <w:top w:val="none" w:sz="0" w:space="0" w:color="auto"/>
            <w:left w:val="none" w:sz="0" w:space="0" w:color="auto"/>
            <w:bottom w:val="none" w:sz="0" w:space="0" w:color="auto"/>
            <w:right w:val="none" w:sz="0" w:space="0" w:color="auto"/>
          </w:divBdr>
        </w:div>
      </w:divsChild>
    </w:div>
    <w:div w:id="1134639323">
      <w:bodyDiv w:val="1"/>
      <w:marLeft w:val="0"/>
      <w:marRight w:val="0"/>
      <w:marTop w:val="0"/>
      <w:marBottom w:val="0"/>
      <w:divBdr>
        <w:top w:val="none" w:sz="0" w:space="0" w:color="auto"/>
        <w:left w:val="none" w:sz="0" w:space="0" w:color="auto"/>
        <w:bottom w:val="none" w:sz="0" w:space="0" w:color="auto"/>
        <w:right w:val="none" w:sz="0" w:space="0" w:color="auto"/>
      </w:divBdr>
    </w:div>
    <w:div w:id="1135946947">
      <w:bodyDiv w:val="1"/>
      <w:marLeft w:val="0"/>
      <w:marRight w:val="0"/>
      <w:marTop w:val="0"/>
      <w:marBottom w:val="0"/>
      <w:divBdr>
        <w:top w:val="none" w:sz="0" w:space="0" w:color="auto"/>
        <w:left w:val="none" w:sz="0" w:space="0" w:color="auto"/>
        <w:bottom w:val="none" w:sz="0" w:space="0" w:color="auto"/>
        <w:right w:val="none" w:sz="0" w:space="0" w:color="auto"/>
      </w:divBdr>
    </w:div>
    <w:div w:id="1159341749">
      <w:bodyDiv w:val="1"/>
      <w:marLeft w:val="0"/>
      <w:marRight w:val="0"/>
      <w:marTop w:val="0"/>
      <w:marBottom w:val="0"/>
      <w:divBdr>
        <w:top w:val="none" w:sz="0" w:space="0" w:color="auto"/>
        <w:left w:val="none" w:sz="0" w:space="0" w:color="auto"/>
        <w:bottom w:val="none" w:sz="0" w:space="0" w:color="auto"/>
        <w:right w:val="none" w:sz="0" w:space="0" w:color="auto"/>
      </w:divBdr>
    </w:div>
    <w:div w:id="1230462569">
      <w:bodyDiv w:val="1"/>
      <w:marLeft w:val="0"/>
      <w:marRight w:val="0"/>
      <w:marTop w:val="0"/>
      <w:marBottom w:val="0"/>
      <w:divBdr>
        <w:top w:val="none" w:sz="0" w:space="0" w:color="auto"/>
        <w:left w:val="none" w:sz="0" w:space="0" w:color="auto"/>
        <w:bottom w:val="none" w:sz="0" w:space="0" w:color="auto"/>
        <w:right w:val="none" w:sz="0" w:space="0" w:color="auto"/>
      </w:divBdr>
    </w:div>
    <w:div w:id="1231816998">
      <w:bodyDiv w:val="1"/>
      <w:marLeft w:val="0"/>
      <w:marRight w:val="0"/>
      <w:marTop w:val="0"/>
      <w:marBottom w:val="0"/>
      <w:divBdr>
        <w:top w:val="none" w:sz="0" w:space="0" w:color="auto"/>
        <w:left w:val="none" w:sz="0" w:space="0" w:color="auto"/>
        <w:bottom w:val="none" w:sz="0" w:space="0" w:color="auto"/>
        <w:right w:val="none" w:sz="0" w:space="0" w:color="auto"/>
      </w:divBdr>
    </w:div>
    <w:div w:id="1266157661">
      <w:bodyDiv w:val="1"/>
      <w:marLeft w:val="0"/>
      <w:marRight w:val="0"/>
      <w:marTop w:val="0"/>
      <w:marBottom w:val="0"/>
      <w:divBdr>
        <w:top w:val="none" w:sz="0" w:space="0" w:color="auto"/>
        <w:left w:val="none" w:sz="0" w:space="0" w:color="auto"/>
        <w:bottom w:val="none" w:sz="0" w:space="0" w:color="auto"/>
        <w:right w:val="none" w:sz="0" w:space="0" w:color="auto"/>
      </w:divBdr>
    </w:div>
    <w:div w:id="1274286281">
      <w:bodyDiv w:val="1"/>
      <w:marLeft w:val="0"/>
      <w:marRight w:val="0"/>
      <w:marTop w:val="0"/>
      <w:marBottom w:val="0"/>
      <w:divBdr>
        <w:top w:val="none" w:sz="0" w:space="0" w:color="auto"/>
        <w:left w:val="none" w:sz="0" w:space="0" w:color="auto"/>
        <w:bottom w:val="none" w:sz="0" w:space="0" w:color="auto"/>
        <w:right w:val="none" w:sz="0" w:space="0" w:color="auto"/>
      </w:divBdr>
      <w:divsChild>
        <w:div w:id="209806131">
          <w:marLeft w:val="0"/>
          <w:marRight w:val="0"/>
          <w:marTop w:val="0"/>
          <w:marBottom w:val="0"/>
          <w:divBdr>
            <w:top w:val="none" w:sz="0" w:space="0" w:color="auto"/>
            <w:left w:val="none" w:sz="0" w:space="0" w:color="auto"/>
            <w:bottom w:val="none" w:sz="0" w:space="0" w:color="auto"/>
            <w:right w:val="none" w:sz="0" w:space="0" w:color="auto"/>
          </w:divBdr>
          <w:divsChild>
            <w:div w:id="1583682378">
              <w:marLeft w:val="0"/>
              <w:marRight w:val="0"/>
              <w:marTop w:val="0"/>
              <w:marBottom w:val="0"/>
              <w:divBdr>
                <w:top w:val="none" w:sz="0" w:space="0" w:color="auto"/>
                <w:left w:val="none" w:sz="0" w:space="0" w:color="auto"/>
                <w:bottom w:val="none" w:sz="0" w:space="0" w:color="auto"/>
                <w:right w:val="none" w:sz="0" w:space="0" w:color="auto"/>
              </w:divBdr>
              <w:divsChild>
                <w:div w:id="876968604">
                  <w:marLeft w:val="0"/>
                  <w:marRight w:val="0"/>
                  <w:marTop w:val="0"/>
                  <w:marBottom w:val="0"/>
                  <w:divBdr>
                    <w:top w:val="none" w:sz="0" w:space="0" w:color="auto"/>
                    <w:left w:val="none" w:sz="0" w:space="0" w:color="auto"/>
                    <w:bottom w:val="none" w:sz="0" w:space="0" w:color="auto"/>
                    <w:right w:val="none" w:sz="0" w:space="0" w:color="auto"/>
                  </w:divBdr>
                  <w:divsChild>
                    <w:div w:id="156336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312131">
      <w:bodyDiv w:val="1"/>
      <w:marLeft w:val="0"/>
      <w:marRight w:val="0"/>
      <w:marTop w:val="0"/>
      <w:marBottom w:val="0"/>
      <w:divBdr>
        <w:top w:val="none" w:sz="0" w:space="0" w:color="auto"/>
        <w:left w:val="none" w:sz="0" w:space="0" w:color="auto"/>
        <w:bottom w:val="none" w:sz="0" w:space="0" w:color="auto"/>
        <w:right w:val="none" w:sz="0" w:space="0" w:color="auto"/>
      </w:divBdr>
    </w:div>
    <w:div w:id="1290739715">
      <w:bodyDiv w:val="1"/>
      <w:marLeft w:val="0"/>
      <w:marRight w:val="0"/>
      <w:marTop w:val="0"/>
      <w:marBottom w:val="0"/>
      <w:divBdr>
        <w:top w:val="none" w:sz="0" w:space="0" w:color="auto"/>
        <w:left w:val="none" w:sz="0" w:space="0" w:color="auto"/>
        <w:bottom w:val="none" w:sz="0" w:space="0" w:color="auto"/>
        <w:right w:val="none" w:sz="0" w:space="0" w:color="auto"/>
      </w:divBdr>
    </w:div>
    <w:div w:id="1322000261">
      <w:bodyDiv w:val="1"/>
      <w:marLeft w:val="0"/>
      <w:marRight w:val="0"/>
      <w:marTop w:val="0"/>
      <w:marBottom w:val="0"/>
      <w:divBdr>
        <w:top w:val="none" w:sz="0" w:space="0" w:color="auto"/>
        <w:left w:val="none" w:sz="0" w:space="0" w:color="auto"/>
        <w:bottom w:val="none" w:sz="0" w:space="0" w:color="auto"/>
        <w:right w:val="none" w:sz="0" w:space="0" w:color="auto"/>
      </w:divBdr>
    </w:div>
    <w:div w:id="1348412624">
      <w:bodyDiv w:val="1"/>
      <w:marLeft w:val="0"/>
      <w:marRight w:val="0"/>
      <w:marTop w:val="0"/>
      <w:marBottom w:val="0"/>
      <w:divBdr>
        <w:top w:val="none" w:sz="0" w:space="0" w:color="auto"/>
        <w:left w:val="none" w:sz="0" w:space="0" w:color="auto"/>
        <w:bottom w:val="none" w:sz="0" w:space="0" w:color="auto"/>
        <w:right w:val="none" w:sz="0" w:space="0" w:color="auto"/>
      </w:divBdr>
      <w:divsChild>
        <w:div w:id="445126439">
          <w:marLeft w:val="0"/>
          <w:marRight w:val="0"/>
          <w:marTop w:val="0"/>
          <w:marBottom w:val="0"/>
          <w:divBdr>
            <w:top w:val="none" w:sz="0" w:space="0" w:color="auto"/>
            <w:left w:val="none" w:sz="0" w:space="0" w:color="auto"/>
            <w:bottom w:val="none" w:sz="0" w:space="0" w:color="auto"/>
            <w:right w:val="none" w:sz="0" w:space="0" w:color="auto"/>
          </w:divBdr>
          <w:divsChild>
            <w:div w:id="1188257449">
              <w:marLeft w:val="0"/>
              <w:marRight w:val="0"/>
              <w:marTop w:val="0"/>
              <w:marBottom w:val="0"/>
              <w:divBdr>
                <w:top w:val="none" w:sz="0" w:space="0" w:color="auto"/>
                <w:left w:val="none" w:sz="0" w:space="0" w:color="auto"/>
                <w:bottom w:val="none" w:sz="0" w:space="0" w:color="auto"/>
                <w:right w:val="none" w:sz="0" w:space="0" w:color="auto"/>
              </w:divBdr>
              <w:divsChild>
                <w:div w:id="482696701">
                  <w:marLeft w:val="0"/>
                  <w:marRight w:val="0"/>
                  <w:marTop w:val="0"/>
                  <w:marBottom w:val="0"/>
                  <w:divBdr>
                    <w:top w:val="none" w:sz="0" w:space="0" w:color="auto"/>
                    <w:left w:val="none" w:sz="0" w:space="0" w:color="auto"/>
                    <w:bottom w:val="none" w:sz="0" w:space="0" w:color="auto"/>
                    <w:right w:val="none" w:sz="0" w:space="0" w:color="auto"/>
                  </w:divBdr>
                  <w:divsChild>
                    <w:div w:id="1684698858">
                      <w:marLeft w:val="0"/>
                      <w:marRight w:val="0"/>
                      <w:marTop w:val="0"/>
                      <w:marBottom w:val="0"/>
                      <w:divBdr>
                        <w:top w:val="none" w:sz="0" w:space="0" w:color="auto"/>
                        <w:left w:val="none" w:sz="0" w:space="0" w:color="auto"/>
                        <w:bottom w:val="none" w:sz="0" w:space="0" w:color="auto"/>
                        <w:right w:val="none" w:sz="0" w:space="0" w:color="auto"/>
                      </w:divBdr>
                      <w:divsChild>
                        <w:div w:id="775835593">
                          <w:marLeft w:val="0"/>
                          <w:marRight w:val="0"/>
                          <w:marTop w:val="0"/>
                          <w:marBottom w:val="0"/>
                          <w:divBdr>
                            <w:top w:val="none" w:sz="0" w:space="0" w:color="auto"/>
                            <w:left w:val="none" w:sz="0" w:space="0" w:color="auto"/>
                            <w:bottom w:val="none" w:sz="0" w:space="0" w:color="auto"/>
                            <w:right w:val="none" w:sz="0" w:space="0" w:color="auto"/>
                          </w:divBdr>
                          <w:divsChild>
                            <w:div w:id="722407850">
                              <w:marLeft w:val="0"/>
                              <w:marRight w:val="0"/>
                              <w:marTop w:val="0"/>
                              <w:marBottom w:val="0"/>
                              <w:divBdr>
                                <w:top w:val="none" w:sz="0" w:space="0" w:color="auto"/>
                                <w:left w:val="none" w:sz="0" w:space="0" w:color="auto"/>
                                <w:bottom w:val="none" w:sz="0" w:space="0" w:color="auto"/>
                                <w:right w:val="none" w:sz="0" w:space="0" w:color="auto"/>
                              </w:divBdr>
                              <w:divsChild>
                                <w:div w:id="880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0817">
                          <w:marLeft w:val="0"/>
                          <w:marRight w:val="0"/>
                          <w:marTop w:val="0"/>
                          <w:marBottom w:val="0"/>
                          <w:divBdr>
                            <w:top w:val="none" w:sz="0" w:space="0" w:color="auto"/>
                            <w:left w:val="none" w:sz="0" w:space="0" w:color="auto"/>
                            <w:bottom w:val="none" w:sz="0" w:space="0" w:color="auto"/>
                            <w:right w:val="none" w:sz="0" w:space="0" w:color="auto"/>
                          </w:divBdr>
                          <w:divsChild>
                            <w:div w:id="1461344242">
                              <w:marLeft w:val="0"/>
                              <w:marRight w:val="0"/>
                              <w:marTop w:val="0"/>
                              <w:marBottom w:val="0"/>
                              <w:divBdr>
                                <w:top w:val="none" w:sz="0" w:space="0" w:color="auto"/>
                                <w:left w:val="none" w:sz="0" w:space="0" w:color="auto"/>
                                <w:bottom w:val="none" w:sz="0" w:space="0" w:color="auto"/>
                                <w:right w:val="none" w:sz="0" w:space="0" w:color="auto"/>
                              </w:divBdr>
                              <w:divsChild>
                                <w:div w:id="529340106">
                                  <w:marLeft w:val="0"/>
                                  <w:marRight w:val="0"/>
                                  <w:marTop w:val="0"/>
                                  <w:marBottom w:val="0"/>
                                  <w:divBdr>
                                    <w:top w:val="none" w:sz="0" w:space="0" w:color="auto"/>
                                    <w:left w:val="none" w:sz="0" w:space="0" w:color="auto"/>
                                    <w:bottom w:val="none" w:sz="0" w:space="0" w:color="auto"/>
                                    <w:right w:val="none" w:sz="0" w:space="0" w:color="auto"/>
                                  </w:divBdr>
                                  <w:divsChild>
                                    <w:div w:id="71461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216">
      <w:bodyDiv w:val="1"/>
      <w:marLeft w:val="0"/>
      <w:marRight w:val="0"/>
      <w:marTop w:val="0"/>
      <w:marBottom w:val="0"/>
      <w:divBdr>
        <w:top w:val="none" w:sz="0" w:space="0" w:color="auto"/>
        <w:left w:val="none" w:sz="0" w:space="0" w:color="auto"/>
        <w:bottom w:val="none" w:sz="0" w:space="0" w:color="auto"/>
        <w:right w:val="none" w:sz="0" w:space="0" w:color="auto"/>
      </w:divBdr>
      <w:divsChild>
        <w:div w:id="339240372">
          <w:marLeft w:val="0"/>
          <w:marRight w:val="0"/>
          <w:marTop w:val="0"/>
          <w:marBottom w:val="0"/>
          <w:divBdr>
            <w:top w:val="none" w:sz="0" w:space="0" w:color="auto"/>
            <w:left w:val="none" w:sz="0" w:space="0" w:color="auto"/>
            <w:bottom w:val="none" w:sz="0" w:space="0" w:color="auto"/>
            <w:right w:val="none" w:sz="0" w:space="0" w:color="auto"/>
          </w:divBdr>
          <w:divsChild>
            <w:div w:id="1630818120">
              <w:marLeft w:val="0"/>
              <w:marRight w:val="0"/>
              <w:marTop w:val="0"/>
              <w:marBottom w:val="0"/>
              <w:divBdr>
                <w:top w:val="none" w:sz="0" w:space="0" w:color="auto"/>
                <w:left w:val="none" w:sz="0" w:space="0" w:color="auto"/>
                <w:bottom w:val="none" w:sz="0" w:space="0" w:color="auto"/>
                <w:right w:val="none" w:sz="0" w:space="0" w:color="auto"/>
              </w:divBdr>
            </w:div>
          </w:divsChild>
        </w:div>
        <w:div w:id="362707129">
          <w:marLeft w:val="0"/>
          <w:marRight w:val="0"/>
          <w:marTop w:val="0"/>
          <w:marBottom w:val="0"/>
          <w:divBdr>
            <w:top w:val="none" w:sz="0" w:space="0" w:color="auto"/>
            <w:left w:val="none" w:sz="0" w:space="0" w:color="auto"/>
            <w:bottom w:val="none" w:sz="0" w:space="0" w:color="auto"/>
            <w:right w:val="none" w:sz="0" w:space="0" w:color="auto"/>
          </w:divBdr>
          <w:divsChild>
            <w:div w:id="114953808">
              <w:marLeft w:val="0"/>
              <w:marRight w:val="0"/>
              <w:marTop w:val="0"/>
              <w:marBottom w:val="0"/>
              <w:divBdr>
                <w:top w:val="none" w:sz="0" w:space="0" w:color="auto"/>
                <w:left w:val="none" w:sz="0" w:space="0" w:color="auto"/>
                <w:bottom w:val="none" w:sz="0" w:space="0" w:color="auto"/>
                <w:right w:val="none" w:sz="0" w:space="0" w:color="auto"/>
              </w:divBdr>
            </w:div>
          </w:divsChild>
        </w:div>
        <w:div w:id="733814867">
          <w:marLeft w:val="0"/>
          <w:marRight w:val="0"/>
          <w:marTop w:val="0"/>
          <w:marBottom w:val="0"/>
          <w:divBdr>
            <w:top w:val="none" w:sz="0" w:space="0" w:color="auto"/>
            <w:left w:val="none" w:sz="0" w:space="0" w:color="auto"/>
            <w:bottom w:val="none" w:sz="0" w:space="0" w:color="auto"/>
            <w:right w:val="none" w:sz="0" w:space="0" w:color="auto"/>
          </w:divBdr>
          <w:divsChild>
            <w:div w:id="1464037405">
              <w:marLeft w:val="0"/>
              <w:marRight w:val="0"/>
              <w:marTop w:val="0"/>
              <w:marBottom w:val="0"/>
              <w:divBdr>
                <w:top w:val="none" w:sz="0" w:space="0" w:color="auto"/>
                <w:left w:val="none" w:sz="0" w:space="0" w:color="auto"/>
                <w:bottom w:val="none" w:sz="0" w:space="0" w:color="auto"/>
                <w:right w:val="none" w:sz="0" w:space="0" w:color="auto"/>
              </w:divBdr>
            </w:div>
          </w:divsChild>
        </w:div>
        <w:div w:id="738753492">
          <w:marLeft w:val="0"/>
          <w:marRight w:val="0"/>
          <w:marTop w:val="0"/>
          <w:marBottom w:val="0"/>
          <w:divBdr>
            <w:top w:val="none" w:sz="0" w:space="0" w:color="auto"/>
            <w:left w:val="none" w:sz="0" w:space="0" w:color="auto"/>
            <w:bottom w:val="none" w:sz="0" w:space="0" w:color="auto"/>
            <w:right w:val="none" w:sz="0" w:space="0" w:color="auto"/>
          </w:divBdr>
          <w:divsChild>
            <w:div w:id="162129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3663">
      <w:bodyDiv w:val="1"/>
      <w:marLeft w:val="0"/>
      <w:marRight w:val="0"/>
      <w:marTop w:val="0"/>
      <w:marBottom w:val="0"/>
      <w:divBdr>
        <w:top w:val="none" w:sz="0" w:space="0" w:color="auto"/>
        <w:left w:val="none" w:sz="0" w:space="0" w:color="auto"/>
        <w:bottom w:val="none" w:sz="0" w:space="0" w:color="auto"/>
        <w:right w:val="none" w:sz="0" w:space="0" w:color="auto"/>
      </w:divBdr>
    </w:div>
    <w:div w:id="1465152793">
      <w:bodyDiv w:val="1"/>
      <w:marLeft w:val="0"/>
      <w:marRight w:val="0"/>
      <w:marTop w:val="0"/>
      <w:marBottom w:val="0"/>
      <w:divBdr>
        <w:top w:val="none" w:sz="0" w:space="0" w:color="auto"/>
        <w:left w:val="none" w:sz="0" w:space="0" w:color="auto"/>
        <w:bottom w:val="none" w:sz="0" w:space="0" w:color="auto"/>
        <w:right w:val="none" w:sz="0" w:space="0" w:color="auto"/>
      </w:divBdr>
      <w:divsChild>
        <w:div w:id="1291939953">
          <w:marLeft w:val="0"/>
          <w:marRight w:val="0"/>
          <w:marTop w:val="0"/>
          <w:marBottom w:val="0"/>
          <w:divBdr>
            <w:top w:val="none" w:sz="0" w:space="0" w:color="auto"/>
            <w:left w:val="none" w:sz="0" w:space="0" w:color="auto"/>
            <w:bottom w:val="none" w:sz="0" w:space="0" w:color="auto"/>
            <w:right w:val="none" w:sz="0" w:space="0" w:color="auto"/>
          </w:divBdr>
          <w:divsChild>
            <w:div w:id="705180934">
              <w:marLeft w:val="0"/>
              <w:marRight w:val="0"/>
              <w:marTop w:val="0"/>
              <w:marBottom w:val="0"/>
              <w:divBdr>
                <w:top w:val="none" w:sz="0" w:space="0" w:color="auto"/>
                <w:left w:val="none" w:sz="0" w:space="0" w:color="auto"/>
                <w:bottom w:val="none" w:sz="0" w:space="0" w:color="auto"/>
                <w:right w:val="none" w:sz="0" w:space="0" w:color="auto"/>
              </w:divBdr>
              <w:divsChild>
                <w:div w:id="2019456136">
                  <w:marLeft w:val="0"/>
                  <w:marRight w:val="0"/>
                  <w:marTop w:val="0"/>
                  <w:marBottom w:val="0"/>
                  <w:divBdr>
                    <w:top w:val="none" w:sz="0" w:space="0" w:color="auto"/>
                    <w:left w:val="none" w:sz="0" w:space="0" w:color="auto"/>
                    <w:bottom w:val="none" w:sz="0" w:space="0" w:color="auto"/>
                    <w:right w:val="none" w:sz="0" w:space="0" w:color="auto"/>
                  </w:divBdr>
                  <w:divsChild>
                    <w:div w:id="1080062250">
                      <w:marLeft w:val="0"/>
                      <w:marRight w:val="0"/>
                      <w:marTop w:val="0"/>
                      <w:marBottom w:val="0"/>
                      <w:divBdr>
                        <w:top w:val="none" w:sz="0" w:space="0" w:color="auto"/>
                        <w:left w:val="none" w:sz="0" w:space="0" w:color="auto"/>
                        <w:bottom w:val="none" w:sz="0" w:space="0" w:color="auto"/>
                        <w:right w:val="none" w:sz="0" w:space="0" w:color="auto"/>
                      </w:divBdr>
                      <w:divsChild>
                        <w:div w:id="1181509184">
                          <w:marLeft w:val="0"/>
                          <w:marRight w:val="0"/>
                          <w:marTop w:val="0"/>
                          <w:marBottom w:val="0"/>
                          <w:divBdr>
                            <w:top w:val="none" w:sz="0" w:space="0" w:color="auto"/>
                            <w:left w:val="none" w:sz="0" w:space="0" w:color="auto"/>
                            <w:bottom w:val="none" w:sz="0" w:space="0" w:color="auto"/>
                            <w:right w:val="none" w:sz="0" w:space="0" w:color="auto"/>
                          </w:divBdr>
                          <w:divsChild>
                            <w:div w:id="328219711">
                              <w:marLeft w:val="0"/>
                              <w:marRight w:val="0"/>
                              <w:marTop w:val="0"/>
                              <w:marBottom w:val="0"/>
                              <w:divBdr>
                                <w:top w:val="none" w:sz="0" w:space="0" w:color="auto"/>
                                <w:left w:val="none" w:sz="0" w:space="0" w:color="auto"/>
                                <w:bottom w:val="none" w:sz="0" w:space="0" w:color="auto"/>
                                <w:right w:val="none" w:sz="0" w:space="0" w:color="auto"/>
                              </w:divBdr>
                              <w:divsChild>
                                <w:div w:id="651565041">
                                  <w:marLeft w:val="0"/>
                                  <w:marRight w:val="0"/>
                                  <w:marTop w:val="0"/>
                                  <w:marBottom w:val="0"/>
                                  <w:divBdr>
                                    <w:top w:val="none" w:sz="0" w:space="0" w:color="auto"/>
                                    <w:left w:val="none" w:sz="0" w:space="0" w:color="auto"/>
                                    <w:bottom w:val="none" w:sz="0" w:space="0" w:color="auto"/>
                                    <w:right w:val="none" w:sz="0" w:space="0" w:color="auto"/>
                                  </w:divBdr>
                                  <w:divsChild>
                                    <w:div w:id="16941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23536">
                          <w:marLeft w:val="0"/>
                          <w:marRight w:val="0"/>
                          <w:marTop w:val="0"/>
                          <w:marBottom w:val="0"/>
                          <w:divBdr>
                            <w:top w:val="none" w:sz="0" w:space="0" w:color="auto"/>
                            <w:left w:val="none" w:sz="0" w:space="0" w:color="auto"/>
                            <w:bottom w:val="none" w:sz="0" w:space="0" w:color="auto"/>
                            <w:right w:val="none" w:sz="0" w:space="0" w:color="auto"/>
                          </w:divBdr>
                          <w:divsChild>
                            <w:div w:id="2011370236">
                              <w:marLeft w:val="0"/>
                              <w:marRight w:val="0"/>
                              <w:marTop w:val="0"/>
                              <w:marBottom w:val="0"/>
                              <w:divBdr>
                                <w:top w:val="none" w:sz="0" w:space="0" w:color="auto"/>
                                <w:left w:val="none" w:sz="0" w:space="0" w:color="auto"/>
                                <w:bottom w:val="none" w:sz="0" w:space="0" w:color="auto"/>
                                <w:right w:val="none" w:sz="0" w:space="0" w:color="auto"/>
                              </w:divBdr>
                              <w:divsChild>
                                <w:div w:id="10999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414718">
      <w:bodyDiv w:val="1"/>
      <w:marLeft w:val="0"/>
      <w:marRight w:val="0"/>
      <w:marTop w:val="0"/>
      <w:marBottom w:val="0"/>
      <w:divBdr>
        <w:top w:val="none" w:sz="0" w:space="0" w:color="auto"/>
        <w:left w:val="none" w:sz="0" w:space="0" w:color="auto"/>
        <w:bottom w:val="none" w:sz="0" w:space="0" w:color="auto"/>
        <w:right w:val="none" w:sz="0" w:space="0" w:color="auto"/>
      </w:divBdr>
      <w:divsChild>
        <w:div w:id="540943237">
          <w:marLeft w:val="0"/>
          <w:marRight w:val="0"/>
          <w:marTop w:val="0"/>
          <w:marBottom w:val="0"/>
          <w:divBdr>
            <w:top w:val="none" w:sz="0" w:space="0" w:color="auto"/>
            <w:left w:val="none" w:sz="0" w:space="0" w:color="auto"/>
            <w:bottom w:val="none" w:sz="0" w:space="0" w:color="auto"/>
            <w:right w:val="none" w:sz="0" w:space="0" w:color="auto"/>
          </w:divBdr>
        </w:div>
        <w:div w:id="998073894">
          <w:marLeft w:val="0"/>
          <w:marRight w:val="0"/>
          <w:marTop w:val="0"/>
          <w:marBottom w:val="0"/>
          <w:divBdr>
            <w:top w:val="none" w:sz="0" w:space="0" w:color="auto"/>
            <w:left w:val="none" w:sz="0" w:space="0" w:color="auto"/>
            <w:bottom w:val="none" w:sz="0" w:space="0" w:color="auto"/>
            <w:right w:val="none" w:sz="0" w:space="0" w:color="auto"/>
          </w:divBdr>
        </w:div>
        <w:div w:id="1351645451">
          <w:marLeft w:val="0"/>
          <w:marRight w:val="0"/>
          <w:marTop w:val="0"/>
          <w:marBottom w:val="0"/>
          <w:divBdr>
            <w:top w:val="none" w:sz="0" w:space="0" w:color="auto"/>
            <w:left w:val="none" w:sz="0" w:space="0" w:color="auto"/>
            <w:bottom w:val="none" w:sz="0" w:space="0" w:color="auto"/>
            <w:right w:val="none" w:sz="0" w:space="0" w:color="auto"/>
          </w:divBdr>
        </w:div>
      </w:divsChild>
    </w:div>
    <w:div w:id="1516797695">
      <w:bodyDiv w:val="1"/>
      <w:marLeft w:val="0"/>
      <w:marRight w:val="0"/>
      <w:marTop w:val="0"/>
      <w:marBottom w:val="0"/>
      <w:divBdr>
        <w:top w:val="none" w:sz="0" w:space="0" w:color="auto"/>
        <w:left w:val="none" w:sz="0" w:space="0" w:color="auto"/>
        <w:bottom w:val="none" w:sz="0" w:space="0" w:color="auto"/>
        <w:right w:val="none" w:sz="0" w:space="0" w:color="auto"/>
      </w:divBdr>
      <w:divsChild>
        <w:div w:id="25838145">
          <w:marLeft w:val="0"/>
          <w:marRight w:val="0"/>
          <w:marTop w:val="0"/>
          <w:marBottom w:val="0"/>
          <w:divBdr>
            <w:top w:val="none" w:sz="0" w:space="0" w:color="auto"/>
            <w:left w:val="none" w:sz="0" w:space="0" w:color="auto"/>
            <w:bottom w:val="none" w:sz="0" w:space="0" w:color="auto"/>
            <w:right w:val="none" w:sz="0" w:space="0" w:color="auto"/>
          </w:divBdr>
          <w:divsChild>
            <w:div w:id="160564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8390">
      <w:bodyDiv w:val="1"/>
      <w:marLeft w:val="0"/>
      <w:marRight w:val="0"/>
      <w:marTop w:val="0"/>
      <w:marBottom w:val="0"/>
      <w:divBdr>
        <w:top w:val="none" w:sz="0" w:space="0" w:color="auto"/>
        <w:left w:val="none" w:sz="0" w:space="0" w:color="auto"/>
        <w:bottom w:val="none" w:sz="0" w:space="0" w:color="auto"/>
        <w:right w:val="none" w:sz="0" w:space="0" w:color="auto"/>
      </w:divBdr>
    </w:div>
    <w:div w:id="1542785754">
      <w:bodyDiv w:val="1"/>
      <w:marLeft w:val="0"/>
      <w:marRight w:val="0"/>
      <w:marTop w:val="0"/>
      <w:marBottom w:val="0"/>
      <w:divBdr>
        <w:top w:val="none" w:sz="0" w:space="0" w:color="auto"/>
        <w:left w:val="none" w:sz="0" w:space="0" w:color="auto"/>
        <w:bottom w:val="none" w:sz="0" w:space="0" w:color="auto"/>
        <w:right w:val="none" w:sz="0" w:space="0" w:color="auto"/>
      </w:divBdr>
    </w:div>
    <w:div w:id="1555654010">
      <w:bodyDiv w:val="1"/>
      <w:marLeft w:val="0"/>
      <w:marRight w:val="0"/>
      <w:marTop w:val="0"/>
      <w:marBottom w:val="0"/>
      <w:divBdr>
        <w:top w:val="none" w:sz="0" w:space="0" w:color="auto"/>
        <w:left w:val="none" w:sz="0" w:space="0" w:color="auto"/>
        <w:bottom w:val="none" w:sz="0" w:space="0" w:color="auto"/>
        <w:right w:val="none" w:sz="0" w:space="0" w:color="auto"/>
      </w:divBdr>
    </w:div>
    <w:div w:id="1582254649">
      <w:bodyDiv w:val="1"/>
      <w:marLeft w:val="0"/>
      <w:marRight w:val="0"/>
      <w:marTop w:val="0"/>
      <w:marBottom w:val="0"/>
      <w:divBdr>
        <w:top w:val="none" w:sz="0" w:space="0" w:color="auto"/>
        <w:left w:val="none" w:sz="0" w:space="0" w:color="auto"/>
        <w:bottom w:val="none" w:sz="0" w:space="0" w:color="auto"/>
        <w:right w:val="none" w:sz="0" w:space="0" w:color="auto"/>
      </w:divBdr>
      <w:divsChild>
        <w:div w:id="1438478383">
          <w:marLeft w:val="0"/>
          <w:marRight w:val="0"/>
          <w:marTop w:val="0"/>
          <w:marBottom w:val="0"/>
          <w:divBdr>
            <w:top w:val="none" w:sz="0" w:space="0" w:color="auto"/>
            <w:left w:val="none" w:sz="0" w:space="0" w:color="auto"/>
            <w:bottom w:val="none" w:sz="0" w:space="0" w:color="auto"/>
            <w:right w:val="none" w:sz="0" w:space="0" w:color="auto"/>
          </w:divBdr>
          <w:divsChild>
            <w:div w:id="730734500">
              <w:marLeft w:val="0"/>
              <w:marRight w:val="0"/>
              <w:marTop w:val="0"/>
              <w:marBottom w:val="0"/>
              <w:divBdr>
                <w:top w:val="none" w:sz="0" w:space="0" w:color="auto"/>
                <w:left w:val="none" w:sz="0" w:space="0" w:color="auto"/>
                <w:bottom w:val="none" w:sz="0" w:space="0" w:color="auto"/>
                <w:right w:val="none" w:sz="0" w:space="0" w:color="auto"/>
              </w:divBdr>
              <w:divsChild>
                <w:div w:id="522327760">
                  <w:marLeft w:val="0"/>
                  <w:marRight w:val="0"/>
                  <w:marTop w:val="0"/>
                  <w:marBottom w:val="0"/>
                  <w:divBdr>
                    <w:top w:val="none" w:sz="0" w:space="0" w:color="auto"/>
                    <w:left w:val="none" w:sz="0" w:space="0" w:color="auto"/>
                    <w:bottom w:val="none" w:sz="0" w:space="0" w:color="auto"/>
                    <w:right w:val="none" w:sz="0" w:space="0" w:color="auto"/>
                  </w:divBdr>
                  <w:divsChild>
                    <w:div w:id="1800687896">
                      <w:marLeft w:val="0"/>
                      <w:marRight w:val="0"/>
                      <w:marTop w:val="0"/>
                      <w:marBottom w:val="0"/>
                      <w:divBdr>
                        <w:top w:val="none" w:sz="0" w:space="0" w:color="auto"/>
                        <w:left w:val="none" w:sz="0" w:space="0" w:color="auto"/>
                        <w:bottom w:val="none" w:sz="0" w:space="0" w:color="auto"/>
                        <w:right w:val="none" w:sz="0" w:space="0" w:color="auto"/>
                      </w:divBdr>
                      <w:divsChild>
                        <w:div w:id="570774413">
                          <w:marLeft w:val="0"/>
                          <w:marRight w:val="0"/>
                          <w:marTop w:val="0"/>
                          <w:marBottom w:val="0"/>
                          <w:divBdr>
                            <w:top w:val="none" w:sz="0" w:space="0" w:color="auto"/>
                            <w:left w:val="none" w:sz="0" w:space="0" w:color="auto"/>
                            <w:bottom w:val="none" w:sz="0" w:space="0" w:color="auto"/>
                            <w:right w:val="none" w:sz="0" w:space="0" w:color="auto"/>
                          </w:divBdr>
                          <w:divsChild>
                            <w:div w:id="762454222">
                              <w:marLeft w:val="0"/>
                              <w:marRight w:val="0"/>
                              <w:marTop w:val="0"/>
                              <w:marBottom w:val="0"/>
                              <w:divBdr>
                                <w:top w:val="none" w:sz="0" w:space="0" w:color="auto"/>
                                <w:left w:val="none" w:sz="0" w:space="0" w:color="auto"/>
                                <w:bottom w:val="none" w:sz="0" w:space="0" w:color="auto"/>
                                <w:right w:val="none" w:sz="0" w:space="0" w:color="auto"/>
                              </w:divBdr>
                              <w:divsChild>
                                <w:div w:id="8489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369314">
                          <w:marLeft w:val="0"/>
                          <w:marRight w:val="0"/>
                          <w:marTop w:val="0"/>
                          <w:marBottom w:val="0"/>
                          <w:divBdr>
                            <w:top w:val="none" w:sz="0" w:space="0" w:color="auto"/>
                            <w:left w:val="none" w:sz="0" w:space="0" w:color="auto"/>
                            <w:bottom w:val="none" w:sz="0" w:space="0" w:color="auto"/>
                            <w:right w:val="none" w:sz="0" w:space="0" w:color="auto"/>
                          </w:divBdr>
                          <w:divsChild>
                            <w:div w:id="1959947238">
                              <w:marLeft w:val="0"/>
                              <w:marRight w:val="0"/>
                              <w:marTop w:val="0"/>
                              <w:marBottom w:val="0"/>
                              <w:divBdr>
                                <w:top w:val="none" w:sz="0" w:space="0" w:color="auto"/>
                                <w:left w:val="none" w:sz="0" w:space="0" w:color="auto"/>
                                <w:bottom w:val="none" w:sz="0" w:space="0" w:color="auto"/>
                                <w:right w:val="none" w:sz="0" w:space="0" w:color="auto"/>
                              </w:divBdr>
                              <w:divsChild>
                                <w:div w:id="1826505616">
                                  <w:marLeft w:val="0"/>
                                  <w:marRight w:val="0"/>
                                  <w:marTop w:val="0"/>
                                  <w:marBottom w:val="0"/>
                                  <w:divBdr>
                                    <w:top w:val="none" w:sz="0" w:space="0" w:color="auto"/>
                                    <w:left w:val="none" w:sz="0" w:space="0" w:color="auto"/>
                                    <w:bottom w:val="none" w:sz="0" w:space="0" w:color="auto"/>
                                    <w:right w:val="none" w:sz="0" w:space="0" w:color="auto"/>
                                  </w:divBdr>
                                  <w:divsChild>
                                    <w:div w:id="180908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338210">
      <w:bodyDiv w:val="1"/>
      <w:marLeft w:val="0"/>
      <w:marRight w:val="0"/>
      <w:marTop w:val="0"/>
      <w:marBottom w:val="0"/>
      <w:divBdr>
        <w:top w:val="none" w:sz="0" w:space="0" w:color="auto"/>
        <w:left w:val="none" w:sz="0" w:space="0" w:color="auto"/>
        <w:bottom w:val="none" w:sz="0" w:space="0" w:color="auto"/>
        <w:right w:val="none" w:sz="0" w:space="0" w:color="auto"/>
      </w:divBdr>
    </w:div>
    <w:div w:id="1624654107">
      <w:bodyDiv w:val="1"/>
      <w:marLeft w:val="0"/>
      <w:marRight w:val="0"/>
      <w:marTop w:val="0"/>
      <w:marBottom w:val="0"/>
      <w:divBdr>
        <w:top w:val="none" w:sz="0" w:space="0" w:color="auto"/>
        <w:left w:val="none" w:sz="0" w:space="0" w:color="auto"/>
        <w:bottom w:val="none" w:sz="0" w:space="0" w:color="auto"/>
        <w:right w:val="none" w:sz="0" w:space="0" w:color="auto"/>
      </w:divBdr>
    </w:div>
    <w:div w:id="1629437786">
      <w:bodyDiv w:val="1"/>
      <w:marLeft w:val="0"/>
      <w:marRight w:val="0"/>
      <w:marTop w:val="0"/>
      <w:marBottom w:val="0"/>
      <w:divBdr>
        <w:top w:val="none" w:sz="0" w:space="0" w:color="auto"/>
        <w:left w:val="none" w:sz="0" w:space="0" w:color="auto"/>
        <w:bottom w:val="none" w:sz="0" w:space="0" w:color="auto"/>
        <w:right w:val="none" w:sz="0" w:space="0" w:color="auto"/>
      </w:divBdr>
      <w:divsChild>
        <w:div w:id="1656835020">
          <w:marLeft w:val="0"/>
          <w:marRight w:val="0"/>
          <w:marTop w:val="0"/>
          <w:marBottom w:val="0"/>
          <w:divBdr>
            <w:top w:val="none" w:sz="0" w:space="0" w:color="auto"/>
            <w:left w:val="none" w:sz="0" w:space="0" w:color="auto"/>
            <w:bottom w:val="none" w:sz="0" w:space="0" w:color="auto"/>
            <w:right w:val="none" w:sz="0" w:space="0" w:color="auto"/>
          </w:divBdr>
          <w:divsChild>
            <w:div w:id="830607107">
              <w:marLeft w:val="0"/>
              <w:marRight w:val="0"/>
              <w:marTop w:val="0"/>
              <w:marBottom w:val="0"/>
              <w:divBdr>
                <w:top w:val="none" w:sz="0" w:space="0" w:color="auto"/>
                <w:left w:val="none" w:sz="0" w:space="0" w:color="auto"/>
                <w:bottom w:val="none" w:sz="0" w:space="0" w:color="auto"/>
                <w:right w:val="none" w:sz="0" w:space="0" w:color="auto"/>
              </w:divBdr>
              <w:divsChild>
                <w:div w:id="2036884488">
                  <w:marLeft w:val="0"/>
                  <w:marRight w:val="0"/>
                  <w:marTop w:val="0"/>
                  <w:marBottom w:val="0"/>
                  <w:divBdr>
                    <w:top w:val="none" w:sz="0" w:space="0" w:color="auto"/>
                    <w:left w:val="none" w:sz="0" w:space="0" w:color="auto"/>
                    <w:bottom w:val="none" w:sz="0" w:space="0" w:color="auto"/>
                    <w:right w:val="none" w:sz="0" w:space="0" w:color="auto"/>
                  </w:divBdr>
                  <w:divsChild>
                    <w:div w:id="80481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535790">
      <w:bodyDiv w:val="1"/>
      <w:marLeft w:val="0"/>
      <w:marRight w:val="0"/>
      <w:marTop w:val="0"/>
      <w:marBottom w:val="0"/>
      <w:divBdr>
        <w:top w:val="none" w:sz="0" w:space="0" w:color="auto"/>
        <w:left w:val="none" w:sz="0" w:space="0" w:color="auto"/>
        <w:bottom w:val="none" w:sz="0" w:space="0" w:color="auto"/>
        <w:right w:val="none" w:sz="0" w:space="0" w:color="auto"/>
      </w:divBdr>
      <w:divsChild>
        <w:div w:id="1049916954">
          <w:marLeft w:val="0"/>
          <w:marRight w:val="0"/>
          <w:marTop w:val="0"/>
          <w:marBottom w:val="0"/>
          <w:divBdr>
            <w:top w:val="none" w:sz="0" w:space="0" w:color="auto"/>
            <w:left w:val="none" w:sz="0" w:space="0" w:color="auto"/>
            <w:bottom w:val="none" w:sz="0" w:space="0" w:color="auto"/>
            <w:right w:val="none" w:sz="0" w:space="0" w:color="auto"/>
          </w:divBdr>
          <w:divsChild>
            <w:div w:id="1464738019">
              <w:marLeft w:val="0"/>
              <w:marRight w:val="0"/>
              <w:marTop w:val="0"/>
              <w:marBottom w:val="0"/>
              <w:divBdr>
                <w:top w:val="none" w:sz="0" w:space="0" w:color="auto"/>
                <w:left w:val="none" w:sz="0" w:space="0" w:color="auto"/>
                <w:bottom w:val="none" w:sz="0" w:space="0" w:color="auto"/>
                <w:right w:val="none" w:sz="0" w:space="0" w:color="auto"/>
              </w:divBdr>
              <w:divsChild>
                <w:div w:id="1385324276">
                  <w:marLeft w:val="0"/>
                  <w:marRight w:val="0"/>
                  <w:marTop w:val="0"/>
                  <w:marBottom w:val="0"/>
                  <w:divBdr>
                    <w:top w:val="none" w:sz="0" w:space="0" w:color="auto"/>
                    <w:left w:val="none" w:sz="0" w:space="0" w:color="auto"/>
                    <w:bottom w:val="none" w:sz="0" w:space="0" w:color="auto"/>
                    <w:right w:val="none" w:sz="0" w:space="0" w:color="auto"/>
                  </w:divBdr>
                  <w:divsChild>
                    <w:div w:id="1887250644">
                      <w:marLeft w:val="0"/>
                      <w:marRight w:val="0"/>
                      <w:marTop w:val="0"/>
                      <w:marBottom w:val="0"/>
                      <w:divBdr>
                        <w:top w:val="none" w:sz="0" w:space="0" w:color="auto"/>
                        <w:left w:val="none" w:sz="0" w:space="0" w:color="auto"/>
                        <w:bottom w:val="none" w:sz="0" w:space="0" w:color="auto"/>
                        <w:right w:val="none" w:sz="0" w:space="0" w:color="auto"/>
                      </w:divBdr>
                      <w:divsChild>
                        <w:div w:id="525796045">
                          <w:marLeft w:val="0"/>
                          <w:marRight w:val="0"/>
                          <w:marTop w:val="0"/>
                          <w:marBottom w:val="0"/>
                          <w:divBdr>
                            <w:top w:val="none" w:sz="0" w:space="0" w:color="auto"/>
                            <w:left w:val="none" w:sz="0" w:space="0" w:color="auto"/>
                            <w:bottom w:val="none" w:sz="0" w:space="0" w:color="auto"/>
                            <w:right w:val="none" w:sz="0" w:space="0" w:color="auto"/>
                          </w:divBdr>
                          <w:divsChild>
                            <w:div w:id="1945916716">
                              <w:marLeft w:val="0"/>
                              <w:marRight w:val="0"/>
                              <w:marTop w:val="0"/>
                              <w:marBottom w:val="0"/>
                              <w:divBdr>
                                <w:top w:val="none" w:sz="0" w:space="0" w:color="auto"/>
                                <w:left w:val="none" w:sz="0" w:space="0" w:color="auto"/>
                                <w:bottom w:val="none" w:sz="0" w:space="0" w:color="auto"/>
                                <w:right w:val="none" w:sz="0" w:space="0" w:color="auto"/>
                              </w:divBdr>
                              <w:divsChild>
                                <w:div w:id="260183258">
                                  <w:marLeft w:val="0"/>
                                  <w:marRight w:val="0"/>
                                  <w:marTop w:val="0"/>
                                  <w:marBottom w:val="0"/>
                                  <w:divBdr>
                                    <w:top w:val="none" w:sz="0" w:space="0" w:color="auto"/>
                                    <w:left w:val="none" w:sz="0" w:space="0" w:color="auto"/>
                                    <w:bottom w:val="none" w:sz="0" w:space="0" w:color="auto"/>
                                    <w:right w:val="none" w:sz="0" w:space="0" w:color="auto"/>
                                  </w:divBdr>
                                  <w:divsChild>
                                    <w:div w:id="6222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42796">
                          <w:marLeft w:val="0"/>
                          <w:marRight w:val="0"/>
                          <w:marTop w:val="0"/>
                          <w:marBottom w:val="0"/>
                          <w:divBdr>
                            <w:top w:val="none" w:sz="0" w:space="0" w:color="auto"/>
                            <w:left w:val="none" w:sz="0" w:space="0" w:color="auto"/>
                            <w:bottom w:val="none" w:sz="0" w:space="0" w:color="auto"/>
                            <w:right w:val="none" w:sz="0" w:space="0" w:color="auto"/>
                          </w:divBdr>
                          <w:divsChild>
                            <w:div w:id="1705405107">
                              <w:marLeft w:val="0"/>
                              <w:marRight w:val="0"/>
                              <w:marTop w:val="0"/>
                              <w:marBottom w:val="0"/>
                              <w:divBdr>
                                <w:top w:val="none" w:sz="0" w:space="0" w:color="auto"/>
                                <w:left w:val="none" w:sz="0" w:space="0" w:color="auto"/>
                                <w:bottom w:val="none" w:sz="0" w:space="0" w:color="auto"/>
                                <w:right w:val="none" w:sz="0" w:space="0" w:color="auto"/>
                              </w:divBdr>
                              <w:divsChild>
                                <w:div w:id="19632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487941">
      <w:bodyDiv w:val="1"/>
      <w:marLeft w:val="0"/>
      <w:marRight w:val="0"/>
      <w:marTop w:val="0"/>
      <w:marBottom w:val="0"/>
      <w:divBdr>
        <w:top w:val="none" w:sz="0" w:space="0" w:color="auto"/>
        <w:left w:val="none" w:sz="0" w:space="0" w:color="auto"/>
        <w:bottom w:val="none" w:sz="0" w:space="0" w:color="auto"/>
        <w:right w:val="none" w:sz="0" w:space="0" w:color="auto"/>
      </w:divBdr>
      <w:divsChild>
        <w:div w:id="320744030">
          <w:marLeft w:val="0"/>
          <w:marRight w:val="0"/>
          <w:marTop w:val="0"/>
          <w:marBottom w:val="0"/>
          <w:divBdr>
            <w:top w:val="none" w:sz="0" w:space="0" w:color="auto"/>
            <w:left w:val="none" w:sz="0" w:space="0" w:color="auto"/>
            <w:bottom w:val="none" w:sz="0" w:space="0" w:color="auto"/>
            <w:right w:val="none" w:sz="0" w:space="0" w:color="auto"/>
          </w:divBdr>
        </w:div>
        <w:div w:id="667292263">
          <w:marLeft w:val="0"/>
          <w:marRight w:val="0"/>
          <w:marTop w:val="0"/>
          <w:marBottom w:val="0"/>
          <w:divBdr>
            <w:top w:val="none" w:sz="0" w:space="0" w:color="auto"/>
            <w:left w:val="none" w:sz="0" w:space="0" w:color="auto"/>
            <w:bottom w:val="none" w:sz="0" w:space="0" w:color="auto"/>
            <w:right w:val="none" w:sz="0" w:space="0" w:color="auto"/>
          </w:divBdr>
        </w:div>
        <w:div w:id="825901636">
          <w:marLeft w:val="0"/>
          <w:marRight w:val="0"/>
          <w:marTop w:val="0"/>
          <w:marBottom w:val="0"/>
          <w:divBdr>
            <w:top w:val="none" w:sz="0" w:space="0" w:color="auto"/>
            <w:left w:val="none" w:sz="0" w:space="0" w:color="auto"/>
            <w:bottom w:val="none" w:sz="0" w:space="0" w:color="auto"/>
            <w:right w:val="none" w:sz="0" w:space="0" w:color="auto"/>
          </w:divBdr>
        </w:div>
        <w:div w:id="1420370542">
          <w:marLeft w:val="0"/>
          <w:marRight w:val="0"/>
          <w:marTop w:val="0"/>
          <w:marBottom w:val="0"/>
          <w:divBdr>
            <w:top w:val="none" w:sz="0" w:space="0" w:color="auto"/>
            <w:left w:val="none" w:sz="0" w:space="0" w:color="auto"/>
            <w:bottom w:val="none" w:sz="0" w:space="0" w:color="auto"/>
            <w:right w:val="none" w:sz="0" w:space="0" w:color="auto"/>
          </w:divBdr>
        </w:div>
        <w:div w:id="1626962144">
          <w:marLeft w:val="0"/>
          <w:marRight w:val="0"/>
          <w:marTop w:val="0"/>
          <w:marBottom w:val="0"/>
          <w:divBdr>
            <w:top w:val="none" w:sz="0" w:space="0" w:color="auto"/>
            <w:left w:val="none" w:sz="0" w:space="0" w:color="auto"/>
            <w:bottom w:val="none" w:sz="0" w:space="0" w:color="auto"/>
            <w:right w:val="none" w:sz="0" w:space="0" w:color="auto"/>
          </w:divBdr>
        </w:div>
        <w:div w:id="1680500402">
          <w:marLeft w:val="0"/>
          <w:marRight w:val="0"/>
          <w:marTop w:val="0"/>
          <w:marBottom w:val="0"/>
          <w:divBdr>
            <w:top w:val="none" w:sz="0" w:space="0" w:color="auto"/>
            <w:left w:val="none" w:sz="0" w:space="0" w:color="auto"/>
            <w:bottom w:val="none" w:sz="0" w:space="0" w:color="auto"/>
            <w:right w:val="none" w:sz="0" w:space="0" w:color="auto"/>
          </w:divBdr>
        </w:div>
        <w:div w:id="1718626900">
          <w:marLeft w:val="0"/>
          <w:marRight w:val="0"/>
          <w:marTop w:val="0"/>
          <w:marBottom w:val="0"/>
          <w:divBdr>
            <w:top w:val="none" w:sz="0" w:space="0" w:color="auto"/>
            <w:left w:val="none" w:sz="0" w:space="0" w:color="auto"/>
            <w:bottom w:val="none" w:sz="0" w:space="0" w:color="auto"/>
            <w:right w:val="none" w:sz="0" w:space="0" w:color="auto"/>
          </w:divBdr>
        </w:div>
      </w:divsChild>
    </w:div>
    <w:div w:id="1660689164">
      <w:bodyDiv w:val="1"/>
      <w:marLeft w:val="0"/>
      <w:marRight w:val="0"/>
      <w:marTop w:val="0"/>
      <w:marBottom w:val="0"/>
      <w:divBdr>
        <w:top w:val="none" w:sz="0" w:space="0" w:color="auto"/>
        <w:left w:val="none" w:sz="0" w:space="0" w:color="auto"/>
        <w:bottom w:val="none" w:sz="0" w:space="0" w:color="auto"/>
        <w:right w:val="none" w:sz="0" w:space="0" w:color="auto"/>
      </w:divBdr>
      <w:divsChild>
        <w:div w:id="40784481">
          <w:marLeft w:val="0"/>
          <w:marRight w:val="0"/>
          <w:marTop w:val="0"/>
          <w:marBottom w:val="0"/>
          <w:divBdr>
            <w:top w:val="none" w:sz="0" w:space="0" w:color="auto"/>
            <w:left w:val="none" w:sz="0" w:space="0" w:color="auto"/>
            <w:bottom w:val="none" w:sz="0" w:space="0" w:color="auto"/>
            <w:right w:val="none" w:sz="0" w:space="0" w:color="auto"/>
          </w:divBdr>
          <w:divsChild>
            <w:div w:id="910312973">
              <w:marLeft w:val="0"/>
              <w:marRight w:val="0"/>
              <w:marTop w:val="0"/>
              <w:marBottom w:val="0"/>
              <w:divBdr>
                <w:top w:val="none" w:sz="0" w:space="0" w:color="auto"/>
                <w:left w:val="none" w:sz="0" w:space="0" w:color="auto"/>
                <w:bottom w:val="none" w:sz="0" w:space="0" w:color="auto"/>
                <w:right w:val="none" w:sz="0" w:space="0" w:color="auto"/>
              </w:divBdr>
            </w:div>
          </w:divsChild>
        </w:div>
        <w:div w:id="108818427">
          <w:marLeft w:val="0"/>
          <w:marRight w:val="0"/>
          <w:marTop w:val="0"/>
          <w:marBottom w:val="0"/>
          <w:divBdr>
            <w:top w:val="none" w:sz="0" w:space="0" w:color="auto"/>
            <w:left w:val="none" w:sz="0" w:space="0" w:color="auto"/>
            <w:bottom w:val="none" w:sz="0" w:space="0" w:color="auto"/>
            <w:right w:val="none" w:sz="0" w:space="0" w:color="auto"/>
          </w:divBdr>
          <w:divsChild>
            <w:div w:id="362093497">
              <w:marLeft w:val="0"/>
              <w:marRight w:val="0"/>
              <w:marTop w:val="0"/>
              <w:marBottom w:val="0"/>
              <w:divBdr>
                <w:top w:val="none" w:sz="0" w:space="0" w:color="auto"/>
                <w:left w:val="none" w:sz="0" w:space="0" w:color="auto"/>
                <w:bottom w:val="none" w:sz="0" w:space="0" w:color="auto"/>
                <w:right w:val="none" w:sz="0" w:space="0" w:color="auto"/>
              </w:divBdr>
            </w:div>
          </w:divsChild>
        </w:div>
        <w:div w:id="318505851">
          <w:marLeft w:val="0"/>
          <w:marRight w:val="0"/>
          <w:marTop w:val="0"/>
          <w:marBottom w:val="0"/>
          <w:divBdr>
            <w:top w:val="none" w:sz="0" w:space="0" w:color="auto"/>
            <w:left w:val="none" w:sz="0" w:space="0" w:color="auto"/>
            <w:bottom w:val="none" w:sz="0" w:space="0" w:color="auto"/>
            <w:right w:val="none" w:sz="0" w:space="0" w:color="auto"/>
          </w:divBdr>
          <w:divsChild>
            <w:div w:id="846603083">
              <w:marLeft w:val="0"/>
              <w:marRight w:val="0"/>
              <w:marTop w:val="0"/>
              <w:marBottom w:val="0"/>
              <w:divBdr>
                <w:top w:val="none" w:sz="0" w:space="0" w:color="auto"/>
                <w:left w:val="none" w:sz="0" w:space="0" w:color="auto"/>
                <w:bottom w:val="none" w:sz="0" w:space="0" w:color="auto"/>
                <w:right w:val="none" w:sz="0" w:space="0" w:color="auto"/>
              </w:divBdr>
            </w:div>
          </w:divsChild>
        </w:div>
        <w:div w:id="364254071">
          <w:marLeft w:val="0"/>
          <w:marRight w:val="0"/>
          <w:marTop w:val="0"/>
          <w:marBottom w:val="0"/>
          <w:divBdr>
            <w:top w:val="none" w:sz="0" w:space="0" w:color="auto"/>
            <w:left w:val="none" w:sz="0" w:space="0" w:color="auto"/>
            <w:bottom w:val="none" w:sz="0" w:space="0" w:color="auto"/>
            <w:right w:val="none" w:sz="0" w:space="0" w:color="auto"/>
          </w:divBdr>
          <w:divsChild>
            <w:div w:id="67384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72038">
      <w:bodyDiv w:val="1"/>
      <w:marLeft w:val="0"/>
      <w:marRight w:val="0"/>
      <w:marTop w:val="0"/>
      <w:marBottom w:val="0"/>
      <w:divBdr>
        <w:top w:val="none" w:sz="0" w:space="0" w:color="auto"/>
        <w:left w:val="none" w:sz="0" w:space="0" w:color="auto"/>
        <w:bottom w:val="none" w:sz="0" w:space="0" w:color="auto"/>
        <w:right w:val="none" w:sz="0" w:space="0" w:color="auto"/>
      </w:divBdr>
      <w:divsChild>
        <w:div w:id="221984334">
          <w:marLeft w:val="0"/>
          <w:marRight w:val="0"/>
          <w:marTop w:val="0"/>
          <w:marBottom w:val="0"/>
          <w:divBdr>
            <w:top w:val="none" w:sz="0" w:space="0" w:color="auto"/>
            <w:left w:val="none" w:sz="0" w:space="0" w:color="auto"/>
            <w:bottom w:val="none" w:sz="0" w:space="0" w:color="auto"/>
            <w:right w:val="none" w:sz="0" w:space="0" w:color="auto"/>
          </w:divBdr>
          <w:divsChild>
            <w:div w:id="153762036">
              <w:marLeft w:val="0"/>
              <w:marRight w:val="0"/>
              <w:marTop w:val="0"/>
              <w:marBottom w:val="0"/>
              <w:divBdr>
                <w:top w:val="none" w:sz="0" w:space="0" w:color="auto"/>
                <w:left w:val="none" w:sz="0" w:space="0" w:color="auto"/>
                <w:bottom w:val="none" w:sz="0" w:space="0" w:color="auto"/>
                <w:right w:val="none" w:sz="0" w:space="0" w:color="auto"/>
              </w:divBdr>
              <w:divsChild>
                <w:div w:id="1426221307">
                  <w:marLeft w:val="0"/>
                  <w:marRight w:val="0"/>
                  <w:marTop w:val="0"/>
                  <w:marBottom w:val="0"/>
                  <w:divBdr>
                    <w:top w:val="none" w:sz="0" w:space="0" w:color="auto"/>
                    <w:left w:val="none" w:sz="0" w:space="0" w:color="auto"/>
                    <w:bottom w:val="none" w:sz="0" w:space="0" w:color="auto"/>
                    <w:right w:val="none" w:sz="0" w:space="0" w:color="auto"/>
                  </w:divBdr>
                  <w:divsChild>
                    <w:div w:id="149399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688221">
      <w:bodyDiv w:val="1"/>
      <w:marLeft w:val="0"/>
      <w:marRight w:val="0"/>
      <w:marTop w:val="0"/>
      <w:marBottom w:val="0"/>
      <w:divBdr>
        <w:top w:val="none" w:sz="0" w:space="0" w:color="auto"/>
        <w:left w:val="none" w:sz="0" w:space="0" w:color="auto"/>
        <w:bottom w:val="none" w:sz="0" w:space="0" w:color="auto"/>
        <w:right w:val="none" w:sz="0" w:space="0" w:color="auto"/>
      </w:divBdr>
    </w:div>
    <w:div w:id="1713264967">
      <w:bodyDiv w:val="1"/>
      <w:marLeft w:val="0"/>
      <w:marRight w:val="0"/>
      <w:marTop w:val="0"/>
      <w:marBottom w:val="0"/>
      <w:divBdr>
        <w:top w:val="none" w:sz="0" w:space="0" w:color="auto"/>
        <w:left w:val="none" w:sz="0" w:space="0" w:color="auto"/>
        <w:bottom w:val="none" w:sz="0" w:space="0" w:color="auto"/>
        <w:right w:val="none" w:sz="0" w:space="0" w:color="auto"/>
      </w:divBdr>
    </w:div>
    <w:div w:id="1713919564">
      <w:bodyDiv w:val="1"/>
      <w:marLeft w:val="0"/>
      <w:marRight w:val="0"/>
      <w:marTop w:val="0"/>
      <w:marBottom w:val="0"/>
      <w:divBdr>
        <w:top w:val="none" w:sz="0" w:space="0" w:color="auto"/>
        <w:left w:val="none" w:sz="0" w:space="0" w:color="auto"/>
        <w:bottom w:val="none" w:sz="0" w:space="0" w:color="auto"/>
        <w:right w:val="none" w:sz="0" w:space="0" w:color="auto"/>
      </w:divBdr>
      <w:divsChild>
        <w:div w:id="127742625">
          <w:marLeft w:val="0"/>
          <w:marRight w:val="0"/>
          <w:marTop w:val="0"/>
          <w:marBottom w:val="0"/>
          <w:divBdr>
            <w:top w:val="none" w:sz="0" w:space="0" w:color="auto"/>
            <w:left w:val="none" w:sz="0" w:space="0" w:color="auto"/>
            <w:bottom w:val="none" w:sz="0" w:space="0" w:color="auto"/>
            <w:right w:val="none" w:sz="0" w:space="0" w:color="auto"/>
          </w:divBdr>
          <w:divsChild>
            <w:div w:id="369956956">
              <w:marLeft w:val="0"/>
              <w:marRight w:val="0"/>
              <w:marTop w:val="0"/>
              <w:marBottom w:val="0"/>
              <w:divBdr>
                <w:top w:val="none" w:sz="0" w:space="0" w:color="auto"/>
                <w:left w:val="none" w:sz="0" w:space="0" w:color="auto"/>
                <w:bottom w:val="none" w:sz="0" w:space="0" w:color="auto"/>
                <w:right w:val="none" w:sz="0" w:space="0" w:color="auto"/>
              </w:divBdr>
            </w:div>
          </w:divsChild>
        </w:div>
        <w:div w:id="997001703">
          <w:marLeft w:val="0"/>
          <w:marRight w:val="0"/>
          <w:marTop w:val="0"/>
          <w:marBottom w:val="0"/>
          <w:divBdr>
            <w:top w:val="none" w:sz="0" w:space="0" w:color="auto"/>
            <w:left w:val="none" w:sz="0" w:space="0" w:color="auto"/>
            <w:bottom w:val="none" w:sz="0" w:space="0" w:color="auto"/>
            <w:right w:val="none" w:sz="0" w:space="0" w:color="auto"/>
          </w:divBdr>
          <w:divsChild>
            <w:div w:id="2135361898">
              <w:marLeft w:val="0"/>
              <w:marRight w:val="0"/>
              <w:marTop w:val="0"/>
              <w:marBottom w:val="0"/>
              <w:divBdr>
                <w:top w:val="none" w:sz="0" w:space="0" w:color="auto"/>
                <w:left w:val="none" w:sz="0" w:space="0" w:color="auto"/>
                <w:bottom w:val="none" w:sz="0" w:space="0" w:color="auto"/>
                <w:right w:val="none" w:sz="0" w:space="0" w:color="auto"/>
              </w:divBdr>
            </w:div>
          </w:divsChild>
        </w:div>
        <w:div w:id="1487281668">
          <w:marLeft w:val="0"/>
          <w:marRight w:val="0"/>
          <w:marTop w:val="0"/>
          <w:marBottom w:val="0"/>
          <w:divBdr>
            <w:top w:val="none" w:sz="0" w:space="0" w:color="auto"/>
            <w:left w:val="none" w:sz="0" w:space="0" w:color="auto"/>
            <w:bottom w:val="none" w:sz="0" w:space="0" w:color="auto"/>
            <w:right w:val="none" w:sz="0" w:space="0" w:color="auto"/>
          </w:divBdr>
          <w:divsChild>
            <w:div w:id="574365157">
              <w:marLeft w:val="0"/>
              <w:marRight w:val="0"/>
              <w:marTop w:val="0"/>
              <w:marBottom w:val="0"/>
              <w:divBdr>
                <w:top w:val="none" w:sz="0" w:space="0" w:color="auto"/>
                <w:left w:val="none" w:sz="0" w:space="0" w:color="auto"/>
                <w:bottom w:val="none" w:sz="0" w:space="0" w:color="auto"/>
                <w:right w:val="none" w:sz="0" w:space="0" w:color="auto"/>
              </w:divBdr>
            </w:div>
          </w:divsChild>
        </w:div>
        <w:div w:id="1582328445">
          <w:marLeft w:val="0"/>
          <w:marRight w:val="0"/>
          <w:marTop w:val="0"/>
          <w:marBottom w:val="0"/>
          <w:divBdr>
            <w:top w:val="none" w:sz="0" w:space="0" w:color="auto"/>
            <w:left w:val="none" w:sz="0" w:space="0" w:color="auto"/>
            <w:bottom w:val="none" w:sz="0" w:space="0" w:color="auto"/>
            <w:right w:val="none" w:sz="0" w:space="0" w:color="auto"/>
          </w:divBdr>
          <w:divsChild>
            <w:div w:id="32270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1626">
      <w:bodyDiv w:val="1"/>
      <w:marLeft w:val="0"/>
      <w:marRight w:val="0"/>
      <w:marTop w:val="0"/>
      <w:marBottom w:val="0"/>
      <w:divBdr>
        <w:top w:val="none" w:sz="0" w:space="0" w:color="auto"/>
        <w:left w:val="none" w:sz="0" w:space="0" w:color="auto"/>
        <w:bottom w:val="none" w:sz="0" w:space="0" w:color="auto"/>
        <w:right w:val="none" w:sz="0" w:space="0" w:color="auto"/>
      </w:divBdr>
    </w:div>
    <w:div w:id="1755280298">
      <w:bodyDiv w:val="1"/>
      <w:marLeft w:val="0"/>
      <w:marRight w:val="0"/>
      <w:marTop w:val="0"/>
      <w:marBottom w:val="0"/>
      <w:divBdr>
        <w:top w:val="none" w:sz="0" w:space="0" w:color="auto"/>
        <w:left w:val="none" w:sz="0" w:space="0" w:color="auto"/>
        <w:bottom w:val="none" w:sz="0" w:space="0" w:color="auto"/>
        <w:right w:val="none" w:sz="0" w:space="0" w:color="auto"/>
      </w:divBdr>
    </w:div>
    <w:div w:id="1768235797">
      <w:bodyDiv w:val="1"/>
      <w:marLeft w:val="0"/>
      <w:marRight w:val="0"/>
      <w:marTop w:val="0"/>
      <w:marBottom w:val="0"/>
      <w:divBdr>
        <w:top w:val="none" w:sz="0" w:space="0" w:color="auto"/>
        <w:left w:val="none" w:sz="0" w:space="0" w:color="auto"/>
        <w:bottom w:val="none" w:sz="0" w:space="0" w:color="auto"/>
        <w:right w:val="none" w:sz="0" w:space="0" w:color="auto"/>
      </w:divBdr>
    </w:div>
    <w:div w:id="1783499826">
      <w:bodyDiv w:val="1"/>
      <w:marLeft w:val="0"/>
      <w:marRight w:val="0"/>
      <w:marTop w:val="0"/>
      <w:marBottom w:val="0"/>
      <w:divBdr>
        <w:top w:val="none" w:sz="0" w:space="0" w:color="auto"/>
        <w:left w:val="none" w:sz="0" w:space="0" w:color="auto"/>
        <w:bottom w:val="none" w:sz="0" w:space="0" w:color="auto"/>
        <w:right w:val="none" w:sz="0" w:space="0" w:color="auto"/>
      </w:divBdr>
      <w:divsChild>
        <w:div w:id="726684477">
          <w:marLeft w:val="0"/>
          <w:marRight w:val="0"/>
          <w:marTop w:val="0"/>
          <w:marBottom w:val="0"/>
          <w:divBdr>
            <w:top w:val="none" w:sz="0" w:space="0" w:color="auto"/>
            <w:left w:val="none" w:sz="0" w:space="0" w:color="auto"/>
            <w:bottom w:val="none" w:sz="0" w:space="0" w:color="auto"/>
            <w:right w:val="none" w:sz="0" w:space="0" w:color="auto"/>
          </w:divBdr>
          <w:divsChild>
            <w:div w:id="178546736">
              <w:marLeft w:val="0"/>
              <w:marRight w:val="0"/>
              <w:marTop w:val="0"/>
              <w:marBottom w:val="0"/>
              <w:divBdr>
                <w:top w:val="none" w:sz="0" w:space="0" w:color="auto"/>
                <w:left w:val="none" w:sz="0" w:space="0" w:color="auto"/>
                <w:bottom w:val="none" w:sz="0" w:space="0" w:color="auto"/>
                <w:right w:val="none" w:sz="0" w:space="0" w:color="auto"/>
              </w:divBdr>
              <w:divsChild>
                <w:div w:id="1204172404">
                  <w:marLeft w:val="0"/>
                  <w:marRight w:val="0"/>
                  <w:marTop w:val="0"/>
                  <w:marBottom w:val="0"/>
                  <w:divBdr>
                    <w:top w:val="none" w:sz="0" w:space="0" w:color="auto"/>
                    <w:left w:val="none" w:sz="0" w:space="0" w:color="auto"/>
                    <w:bottom w:val="none" w:sz="0" w:space="0" w:color="auto"/>
                    <w:right w:val="none" w:sz="0" w:space="0" w:color="auto"/>
                  </w:divBdr>
                  <w:divsChild>
                    <w:div w:id="2082288825">
                      <w:marLeft w:val="0"/>
                      <w:marRight w:val="0"/>
                      <w:marTop w:val="0"/>
                      <w:marBottom w:val="0"/>
                      <w:divBdr>
                        <w:top w:val="none" w:sz="0" w:space="0" w:color="auto"/>
                        <w:left w:val="none" w:sz="0" w:space="0" w:color="auto"/>
                        <w:bottom w:val="none" w:sz="0" w:space="0" w:color="auto"/>
                        <w:right w:val="none" w:sz="0" w:space="0" w:color="auto"/>
                      </w:divBdr>
                      <w:divsChild>
                        <w:div w:id="1105223076">
                          <w:marLeft w:val="0"/>
                          <w:marRight w:val="0"/>
                          <w:marTop w:val="0"/>
                          <w:marBottom w:val="0"/>
                          <w:divBdr>
                            <w:top w:val="none" w:sz="0" w:space="0" w:color="auto"/>
                            <w:left w:val="none" w:sz="0" w:space="0" w:color="auto"/>
                            <w:bottom w:val="none" w:sz="0" w:space="0" w:color="auto"/>
                            <w:right w:val="none" w:sz="0" w:space="0" w:color="auto"/>
                          </w:divBdr>
                          <w:divsChild>
                            <w:div w:id="1303535581">
                              <w:marLeft w:val="0"/>
                              <w:marRight w:val="0"/>
                              <w:marTop w:val="0"/>
                              <w:marBottom w:val="0"/>
                              <w:divBdr>
                                <w:top w:val="none" w:sz="0" w:space="0" w:color="auto"/>
                                <w:left w:val="none" w:sz="0" w:space="0" w:color="auto"/>
                                <w:bottom w:val="none" w:sz="0" w:space="0" w:color="auto"/>
                                <w:right w:val="none" w:sz="0" w:space="0" w:color="auto"/>
                              </w:divBdr>
                              <w:divsChild>
                                <w:div w:id="1652522432">
                                  <w:marLeft w:val="0"/>
                                  <w:marRight w:val="0"/>
                                  <w:marTop w:val="0"/>
                                  <w:marBottom w:val="0"/>
                                  <w:divBdr>
                                    <w:top w:val="none" w:sz="0" w:space="0" w:color="auto"/>
                                    <w:left w:val="none" w:sz="0" w:space="0" w:color="auto"/>
                                    <w:bottom w:val="none" w:sz="0" w:space="0" w:color="auto"/>
                                    <w:right w:val="none" w:sz="0" w:space="0" w:color="auto"/>
                                  </w:divBdr>
                                  <w:divsChild>
                                    <w:div w:id="21247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447054">
      <w:bodyDiv w:val="1"/>
      <w:marLeft w:val="0"/>
      <w:marRight w:val="0"/>
      <w:marTop w:val="0"/>
      <w:marBottom w:val="0"/>
      <w:divBdr>
        <w:top w:val="none" w:sz="0" w:space="0" w:color="auto"/>
        <w:left w:val="none" w:sz="0" w:space="0" w:color="auto"/>
        <w:bottom w:val="none" w:sz="0" w:space="0" w:color="auto"/>
        <w:right w:val="none" w:sz="0" w:space="0" w:color="auto"/>
      </w:divBdr>
    </w:div>
    <w:div w:id="1816216528">
      <w:bodyDiv w:val="1"/>
      <w:marLeft w:val="0"/>
      <w:marRight w:val="0"/>
      <w:marTop w:val="0"/>
      <w:marBottom w:val="0"/>
      <w:divBdr>
        <w:top w:val="none" w:sz="0" w:space="0" w:color="auto"/>
        <w:left w:val="none" w:sz="0" w:space="0" w:color="auto"/>
        <w:bottom w:val="none" w:sz="0" w:space="0" w:color="auto"/>
        <w:right w:val="none" w:sz="0" w:space="0" w:color="auto"/>
      </w:divBdr>
      <w:divsChild>
        <w:div w:id="471094888">
          <w:marLeft w:val="0"/>
          <w:marRight w:val="0"/>
          <w:marTop w:val="0"/>
          <w:marBottom w:val="0"/>
          <w:divBdr>
            <w:top w:val="none" w:sz="0" w:space="0" w:color="auto"/>
            <w:left w:val="none" w:sz="0" w:space="0" w:color="auto"/>
            <w:bottom w:val="none" w:sz="0" w:space="0" w:color="auto"/>
            <w:right w:val="none" w:sz="0" w:space="0" w:color="auto"/>
          </w:divBdr>
          <w:divsChild>
            <w:div w:id="1638140676">
              <w:marLeft w:val="0"/>
              <w:marRight w:val="0"/>
              <w:marTop w:val="0"/>
              <w:marBottom w:val="0"/>
              <w:divBdr>
                <w:top w:val="none" w:sz="0" w:space="0" w:color="auto"/>
                <w:left w:val="none" w:sz="0" w:space="0" w:color="auto"/>
                <w:bottom w:val="none" w:sz="0" w:space="0" w:color="auto"/>
                <w:right w:val="none" w:sz="0" w:space="0" w:color="auto"/>
              </w:divBdr>
              <w:divsChild>
                <w:div w:id="67966636">
                  <w:marLeft w:val="0"/>
                  <w:marRight w:val="0"/>
                  <w:marTop w:val="0"/>
                  <w:marBottom w:val="0"/>
                  <w:divBdr>
                    <w:top w:val="none" w:sz="0" w:space="0" w:color="auto"/>
                    <w:left w:val="none" w:sz="0" w:space="0" w:color="auto"/>
                    <w:bottom w:val="none" w:sz="0" w:space="0" w:color="auto"/>
                    <w:right w:val="none" w:sz="0" w:space="0" w:color="auto"/>
                  </w:divBdr>
                  <w:divsChild>
                    <w:div w:id="909272712">
                      <w:marLeft w:val="0"/>
                      <w:marRight w:val="0"/>
                      <w:marTop w:val="0"/>
                      <w:marBottom w:val="0"/>
                      <w:divBdr>
                        <w:top w:val="none" w:sz="0" w:space="0" w:color="auto"/>
                        <w:left w:val="none" w:sz="0" w:space="0" w:color="auto"/>
                        <w:bottom w:val="none" w:sz="0" w:space="0" w:color="auto"/>
                        <w:right w:val="none" w:sz="0" w:space="0" w:color="auto"/>
                      </w:divBdr>
                      <w:divsChild>
                        <w:div w:id="245069926">
                          <w:marLeft w:val="0"/>
                          <w:marRight w:val="0"/>
                          <w:marTop w:val="0"/>
                          <w:marBottom w:val="0"/>
                          <w:divBdr>
                            <w:top w:val="none" w:sz="0" w:space="0" w:color="auto"/>
                            <w:left w:val="none" w:sz="0" w:space="0" w:color="auto"/>
                            <w:bottom w:val="none" w:sz="0" w:space="0" w:color="auto"/>
                            <w:right w:val="none" w:sz="0" w:space="0" w:color="auto"/>
                          </w:divBdr>
                          <w:divsChild>
                            <w:div w:id="612595771">
                              <w:marLeft w:val="0"/>
                              <w:marRight w:val="0"/>
                              <w:marTop w:val="0"/>
                              <w:marBottom w:val="0"/>
                              <w:divBdr>
                                <w:top w:val="none" w:sz="0" w:space="0" w:color="auto"/>
                                <w:left w:val="none" w:sz="0" w:space="0" w:color="auto"/>
                                <w:bottom w:val="none" w:sz="0" w:space="0" w:color="auto"/>
                                <w:right w:val="none" w:sz="0" w:space="0" w:color="auto"/>
                              </w:divBdr>
                              <w:divsChild>
                                <w:div w:id="433669409">
                                  <w:marLeft w:val="0"/>
                                  <w:marRight w:val="0"/>
                                  <w:marTop w:val="0"/>
                                  <w:marBottom w:val="0"/>
                                  <w:divBdr>
                                    <w:top w:val="none" w:sz="0" w:space="0" w:color="auto"/>
                                    <w:left w:val="none" w:sz="0" w:space="0" w:color="auto"/>
                                    <w:bottom w:val="none" w:sz="0" w:space="0" w:color="auto"/>
                                    <w:right w:val="none" w:sz="0" w:space="0" w:color="auto"/>
                                  </w:divBdr>
                                  <w:divsChild>
                                    <w:div w:id="3139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314962">
                          <w:marLeft w:val="0"/>
                          <w:marRight w:val="0"/>
                          <w:marTop w:val="0"/>
                          <w:marBottom w:val="0"/>
                          <w:divBdr>
                            <w:top w:val="none" w:sz="0" w:space="0" w:color="auto"/>
                            <w:left w:val="none" w:sz="0" w:space="0" w:color="auto"/>
                            <w:bottom w:val="none" w:sz="0" w:space="0" w:color="auto"/>
                            <w:right w:val="none" w:sz="0" w:space="0" w:color="auto"/>
                          </w:divBdr>
                          <w:divsChild>
                            <w:div w:id="967661785">
                              <w:marLeft w:val="0"/>
                              <w:marRight w:val="0"/>
                              <w:marTop w:val="0"/>
                              <w:marBottom w:val="0"/>
                              <w:divBdr>
                                <w:top w:val="none" w:sz="0" w:space="0" w:color="auto"/>
                                <w:left w:val="none" w:sz="0" w:space="0" w:color="auto"/>
                                <w:bottom w:val="none" w:sz="0" w:space="0" w:color="auto"/>
                                <w:right w:val="none" w:sz="0" w:space="0" w:color="auto"/>
                              </w:divBdr>
                              <w:divsChild>
                                <w:div w:id="21473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538091">
      <w:bodyDiv w:val="1"/>
      <w:marLeft w:val="0"/>
      <w:marRight w:val="0"/>
      <w:marTop w:val="0"/>
      <w:marBottom w:val="0"/>
      <w:divBdr>
        <w:top w:val="none" w:sz="0" w:space="0" w:color="auto"/>
        <w:left w:val="none" w:sz="0" w:space="0" w:color="auto"/>
        <w:bottom w:val="none" w:sz="0" w:space="0" w:color="auto"/>
        <w:right w:val="none" w:sz="0" w:space="0" w:color="auto"/>
      </w:divBdr>
      <w:divsChild>
        <w:div w:id="1877965302">
          <w:marLeft w:val="0"/>
          <w:marRight w:val="0"/>
          <w:marTop w:val="0"/>
          <w:marBottom w:val="0"/>
          <w:divBdr>
            <w:top w:val="none" w:sz="0" w:space="0" w:color="auto"/>
            <w:left w:val="none" w:sz="0" w:space="0" w:color="auto"/>
            <w:bottom w:val="none" w:sz="0" w:space="0" w:color="auto"/>
            <w:right w:val="none" w:sz="0" w:space="0" w:color="auto"/>
          </w:divBdr>
          <w:divsChild>
            <w:div w:id="465121930">
              <w:marLeft w:val="0"/>
              <w:marRight w:val="0"/>
              <w:marTop w:val="0"/>
              <w:marBottom w:val="0"/>
              <w:divBdr>
                <w:top w:val="none" w:sz="0" w:space="0" w:color="auto"/>
                <w:left w:val="none" w:sz="0" w:space="0" w:color="auto"/>
                <w:bottom w:val="none" w:sz="0" w:space="0" w:color="auto"/>
                <w:right w:val="none" w:sz="0" w:space="0" w:color="auto"/>
              </w:divBdr>
              <w:divsChild>
                <w:div w:id="1732730567">
                  <w:marLeft w:val="0"/>
                  <w:marRight w:val="0"/>
                  <w:marTop w:val="0"/>
                  <w:marBottom w:val="0"/>
                  <w:divBdr>
                    <w:top w:val="none" w:sz="0" w:space="0" w:color="auto"/>
                    <w:left w:val="none" w:sz="0" w:space="0" w:color="auto"/>
                    <w:bottom w:val="none" w:sz="0" w:space="0" w:color="auto"/>
                    <w:right w:val="none" w:sz="0" w:space="0" w:color="auto"/>
                  </w:divBdr>
                  <w:divsChild>
                    <w:div w:id="2046247590">
                      <w:marLeft w:val="0"/>
                      <w:marRight w:val="0"/>
                      <w:marTop w:val="0"/>
                      <w:marBottom w:val="0"/>
                      <w:divBdr>
                        <w:top w:val="none" w:sz="0" w:space="0" w:color="auto"/>
                        <w:left w:val="none" w:sz="0" w:space="0" w:color="auto"/>
                        <w:bottom w:val="none" w:sz="0" w:space="0" w:color="auto"/>
                        <w:right w:val="none" w:sz="0" w:space="0" w:color="auto"/>
                      </w:divBdr>
                      <w:divsChild>
                        <w:div w:id="480197863">
                          <w:marLeft w:val="0"/>
                          <w:marRight w:val="0"/>
                          <w:marTop w:val="0"/>
                          <w:marBottom w:val="0"/>
                          <w:divBdr>
                            <w:top w:val="none" w:sz="0" w:space="0" w:color="auto"/>
                            <w:left w:val="none" w:sz="0" w:space="0" w:color="auto"/>
                            <w:bottom w:val="none" w:sz="0" w:space="0" w:color="auto"/>
                            <w:right w:val="none" w:sz="0" w:space="0" w:color="auto"/>
                          </w:divBdr>
                          <w:divsChild>
                            <w:div w:id="548419211">
                              <w:marLeft w:val="0"/>
                              <w:marRight w:val="0"/>
                              <w:marTop w:val="0"/>
                              <w:marBottom w:val="0"/>
                              <w:divBdr>
                                <w:top w:val="none" w:sz="0" w:space="0" w:color="auto"/>
                                <w:left w:val="none" w:sz="0" w:space="0" w:color="auto"/>
                                <w:bottom w:val="none" w:sz="0" w:space="0" w:color="auto"/>
                                <w:right w:val="none" w:sz="0" w:space="0" w:color="auto"/>
                              </w:divBdr>
                              <w:divsChild>
                                <w:div w:id="1840193449">
                                  <w:marLeft w:val="0"/>
                                  <w:marRight w:val="0"/>
                                  <w:marTop w:val="0"/>
                                  <w:marBottom w:val="0"/>
                                  <w:divBdr>
                                    <w:top w:val="none" w:sz="0" w:space="0" w:color="auto"/>
                                    <w:left w:val="none" w:sz="0" w:space="0" w:color="auto"/>
                                    <w:bottom w:val="none" w:sz="0" w:space="0" w:color="auto"/>
                                    <w:right w:val="none" w:sz="0" w:space="0" w:color="auto"/>
                                  </w:divBdr>
                                  <w:divsChild>
                                    <w:div w:id="6598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866852">
      <w:bodyDiv w:val="1"/>
      <w:marLeft w:val="0"/>
      <w:marRight w:val="0"/>
      <w:marTop w:val="0"/>
      <w:marBottom w:val="0"/>
      <w:divBdr>
        <w:top w:val="none" w:sz="0" w:space="0" w:color="auto"/>
        <w:left w:val="none" w:sz="0" w:space="0" w:color="auto"/>
        <w:bottom w:val="none" w:sz="0" w:space="0" w:color="auto"/>
        <w:right w:val="none" w:sz="0" w:space="0" w:color="auto"/>
      </w:divBdr>
    </w:div>
    <w:div w:id="1852140908">
      <w:bodyDiv w:val="1"/>
      <w:marLeft w:val="0"/>
      <w:marRight w:val="0"/>
      <w:marTop w:val="0"/>
      <w:marBottom w:val="0"/>
      <w:divBdr>
        <w:top w:val="none" w:sz="0" w:space="0" w:color="auto"/>
        <w:left w:val="none" w:sz="0" w:space="0" w:color="auto"/>
        <w:bottom w:val="none" w:sz="0" w:space="0" w:color="auto"/>
        <w:right w:val="none" w:sz="0" w:space="0" w:color="auto"/>
      </w:divBdr>
      <w:divsChild>
        <w:div w:id="335575840">
          <w:marLeft w:val="0"/>
          <w:marRight w:val="0"/>
          <w:marTop w:val="0"/>
          <w:marBottom w:val="0"/>
          <w:divBdr>
            <w:top w:val="none" w:sz="0" w:space="0" w:color="auto"/>
            <w:left w:val="none" w:sz="0" w:space="0" w:color="auto"/>
            <w:bottom w:val="none" w:sz="0" w:space="0" w:color="auto"/>
            <w:right w:val="none" w:sz="0" w:space="0" w:color="auto"/>
          </w:divBdr>
          <w:divsChild>
            <w:div w:id="1880849918">
              <w:marLeft w:val="0"/>
              <w:marRight w:val="0"/>
              <w:marTop w:val="0"/>
              <w:marBottom w:val="0"/>
              <w:divBdr>
                <w:top w:val="none" w:sz="0" w:space="0" w:color="auto"/>
                <w:left w:val="none" w:sz="0" w:space="0" w:color="auto"/>
                <w:bottom w:val="none" w:sz="0" w:space="0" w:color="auto"/>
                <w:right w:val="none" w:sz="0" w:space="0" w:color="auto"/>
              </w:divBdr>
            </w:div>
          </w:divsChild>
        </w:div>
        <w:div w:id="1247692618">
          <w:marLeft w:val="0"/>
          <w:marRight w:val="0"/>
          <w:marTop w:val="0"/>
          <w:marBottom w:val="0"/>
          <w:divBdr>
            <w:top w:val="none" w:sz="0" w:space="0" w:color="auto"/>
            <w:left w:val="none" w:sz="0" w:space="0" w:color="auto"/>
            <w:bottom w:val="none" w:sz="0" w:space="0" w:color="auto"/>
            <w:right w:val="none" w:sz="0" w:space="0" w:color="auto"/>
          </w:divBdr>
          <w:divsChild>
            <w:div w:id="1233585187">
              <w:marLeft w:val="0"/>
              <w:marRight w:val="0"/>
              <w:marTop w:val="0"/>
              <w:marBottom w:val="0"/>
              <w:divBdr>
                <w:top w:val="none" w:sz="0" w:space="0" w:color="auto"/>
                <w:left w:val="none" w:sz="0" w:space="0" w:color="auto"/>
                <w:bottom w:val="none" w:sz="0" w:space="0" w:color="auto"/>
                <w:right w:val="none" w:sz="0" w:space="0" w:color="auto"/>
              </w:divBdr>
            </w:div>
          </w:divsChild>
        </w:div>
        <w:div w:id="1681614965">
          <w:marLeft w:val="0"/>
          <w:marRight w:val="0"/>
          <w:marTop w:val="0"/>
          <w:marBottom w:val="0"/>
          <w:divBdr>
            <w:top w:val="none" w:sz="0" w:space="0" w:color="auto"/>
            <w:left w:val="none" w:sz="0" w:space="0" w:color="auto"/>
            <w:bottom w:val="none" w:sz="0" w:space="0" w:color="auto"/>
            <w:right w:val="none" w:sz="0" w:space="0" w:color="auto"/>
          </w:divBdr>
          <w:divsChild>
            <w:div w:id="1573079381">
              <w:marLeft w:val="0"/>
              <w:marRight w:val="0"/>
              <w:marTop w:val="0"/>
              <w:marBottom w:val="0"/>
              <w:divBdr>
                <w:top w:val="none" w:sz="0" w:space="0" w:color="auto"/>
                <w:left w:val="none" w:sz="0" w:space="0" w:color="auto"/>
                <w:bottom w:val="none" w:sz="0" w:space="0" w:color="auto"/>
                <w:right w:val="none" w:sz="0" w:space="0" w:color="auto"/>
              </w:divBdr>
            </w:div>
          </w:divsChild>
        </w:div>
        <w:div w:id="2056998811">
          <w:marLeft w:val="0"/>
          <w:marRight w:val="0"/>
          <w:marTop w:val="0"/>
          <w:marBottom w:val="0"/>
          <w:divBdr>
            <w:top w:val="none" w:sz="0" w:space="0" w:color="auto"/>
            <w:left w:val="none" w:sz="0" w:space="0" w:color="auto"/>
            <w:bottom w:val="none" w:sz="0" w:space="0" w:color="auto"/>
            <w:right w:val="none" w:sz="0" w:space="0" w:color="auto"/>
          </w:divBdr>
          <w:divsChild>
            <w:div w:id="3637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01433">
      <w:bodyDiv w:val="1"/>
      <w:marLeft w:val="0"/>
      <w:marRight w:val="0"/>
      <w:marTop w:val="0"/>
      <w:marBottom w:val="0"/>
      <w:divBdr>
        <w:top w:val="none" w:sz="0" w:space="0" w:color="auto"/>
        <w:left w:val="none" w:sz="0" w:space="0" w:color="auto"/>
        <w:bottom w:val="none" w:sz="0" w:space="0" w:color="auto"/>
        <w:right w:val="none" w:sz="0" w:space="0" w:color="auto"/>
      </w:divBdr>
    </w:div>
    <w:div w:id="1944651768">
      <w:bodyDiv w:val="1"/>
      <w:marLeft w:val="0"/>
      <w:marRight w:val="0"/>
      <w:marTop w:val="0"/>
      <w:marBottom w:val="0"/>
      <w:divBdr>
        <w:top w:val="none" w:sz="0" w:space="0" w:color="auto"/>
        <w:left w:val="none" w:sz="0" w:space="0" w:color="auto"/>
        <w:bottom w:val="none" w:sz="0" w:space="0" w:color="auto"/>
        <w:right w:val="none" w:sz="0" w:space="0" w:color="auto"/>
      </w:divBdr>
      <w:divsChild>
        <w:div w:id="338236904">
          <w:marLeft w:val="0"/>
          <w:marRight w:val="0"/>
          <w:marTop w:val="0"/>
          <w:marBottom w:val="0"/>
          <w:divBdr>
            <w:top w:val="none" w:sz="0" w:space="0" w:color="auto"/>
            <w:left w:val="none" w:sz="0" w:space="0" w:color="auto"/>
            <w:bottom w:val="none" w:sz="0" w:space="0" w:color="auto"/>
            <w:right w:val="none" w:sz="0" w:space="0" w:color="auto"/>
          </w:divBdr>
          <w:divsChild>
            <w:div w:id="87951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19837">
      <w:bodyDiv w:val="1"/>
      <w:marLeft w:val="0"/>
      <w:marRight w:val="0"/>
      <w:marTop w:val="0"/>
      <w:marBottom w:val="0"/>
      <w:divBdr>
        <w:top w:val="none" w:sz="0" w:space="0" w:color="auto"/>
        <w:left w:val="none" w:sz="0" w:space="0" w:color="auto"/>
        <w:bottom w:val="none" w:sz="0" w:space="0" w:color="auto"/>
        <w:right w:val="none" w:sz="0" w:space="0" w:color="auto"/>
      </w:divBdr>
    </w:div>
    <w:div w:id="1965498375">
      <w:bodyDiv w:val="1"/>
      <w:marLeft w:val="0"/>
      <w:marRight w:val="0"/>
      <w:marTop w:val="0"/>
      <w:marBottom w:val="0"/>
      <w:divBdr>
        <w:top w:val="none" w:sz="0" w:space="0" w:color="auto"/>
        <w:left w:val="none" w:sz="0" w:space="0" w:color="auto"/>
        <w:bottom w:val="none" w:sz="0" w:space="0" w:color="auto"/>
        <w:right w:val="none" w:sz="0" w:space="0" w:color="auto"/>
      </w:divBdr>
    </w:div>
    <w:div w:id="2001616150">
      <w:bodyDiv w:val="1"/>
      <w:marLeft w:val="0"/>
      <w:marRight w:val="0"/>
      <w:marTop w:val="0"/>
      <w:marBottom w:val="0"/>
      <w:divBdr>
        <w:top w:val="none" w:sz="0" w:space="0" w:color="auto"/>
        <w:left w:val="none" w:sz="0" w:space="0" w:color="auto"/>
        <w:bottom w:val="none" w:sz="0" w:space="0" w:color="auto"/>
        <w:right w:val="none" w:sz="0" w:space="0" w:color="auto"/>
      </w:divBdr>
      <w:divsChild>
        <w:div w:id="267853959">
          <w:marLeft w:val="0"/>
          <w:marRight w:val="0"/>
          <w:marTop w:val="0"/>
          <w:marBottom w:val="0"/>
          <w:divBdr>
            <w:top w:val="none" w:sz="0" w:space="0" w:color="auto"/>
            <w:left w:val="none" w:sz="0" w:space="0" w:color="auto"/>
            <w:bottom w:val="none" w:sz="0" w:space="0" w:color="auto"/>
            <w:right w:val="none" w:sz="0" w:space="0" w:color="auto"/>
          </w:divBdr>
          <w:divsChild>
            <w:div w:id="2095545653">
              <w:marLeft w:val="0"/>
              <w:marRight w:val="0"/>
              <w:marTop w:val="0"/>
              <w:marBottom w:val="0"/>
              <w:divBdr>
                <w:top w:val="none" w:sz="0" w:space="0" w:color="auto"/>
                <w:left w:val="none" w:sz="0" w:space="0" w:color="auto"/>
                <w:bottom w:val="none" w:sz="0" w:space="0" w:color="auto"/>
                <w:right w:val="none" w:sz="0" w:space="0" w:color="auto"/>
              </w:divBdr>
              <w:divsChild>
                <w:div w:id="1845978229">
                  <w:marLeft w:val="0"/>
                  <w:marRight w:val="0"/>
                  <w:marTop w:val="0"/>
                  <w:marBottom w:val="0"/>
                  <w:divBdr>
                    <w:top w:val="none" w:sz="0" w:space="0" w:color="auto"/>
                    <w:left w:val="none" w:sz="0" w:space="0" w:color="auto"/>
                    <w:bottom w:val="none" w:sz="0" w:space="0" w:color="auto"/>
                    <w:right w:val="none" w:sz="0" w:space="0" w:color="auto"/>
                  </w:divBdr>
                  <w:divsChild>
                    <w:div w:id="702629162">
                      <w:marLeft w:val="0"/>
                      <w:marRight w:val="0"/>
                      <w:marTop w:val="0"/>
                      <w:marBottom w:val="0"/>
                      <w:divBdr>
                        <w:top w:val="none" w:sz="0" w:space="0" w:color="auto"/>
                        <w:left w:val="none" w:sz="0" w:space="0" w:color="auto"/>
                        <w:bottom w:val="none" w:sz="0" w:space="0" w:color="auto"/>
                        <w:right w:val="none" w:sz="0" w:space="0" w:color="auto"/>
                      </w:divBdr>
                      <w:divsChild>
                        <w:div w:id="865219516">
                          <w:marLeft w:val="0"/>
                          <w:marRight w:val="0"/>
                          <w:marTop w:val="0"/>
                          <w:marBottom w:val="0"/>
                          <w:divBdr>
                            <w:top w:val="none" w:sz="0" w:space="0" w:color="auto"/>
                            <w:left w:val="none" w:sz="0" w:space="0" w:color="auto"/>
                            <w:bottom w:val="none" w:sz="0" w:space="0" w:color="auto"/>
                            <w:right w:val="none" w:sz="0" w:space="0" w:color="auto"/>
                          </w:divBdr>
                          <w:divsChild>
                            <w:div w:id="2099208427">
                              <w:marLeft w:val="0"/>
                              <w:marRight w:val="0"/>
                              <w:marTop w:val="0"/>
                              <w:marBottom w:val="0"/>
                              <w:divBdr>
                                <w:top w:val="none" w:sz="0" w:space="0" w:color="auto"/>
                                <w:left w:val="none" w:sz="0" w:space="0" w:color="auto"/>
                                <w:bottom w:val="none" w:sz="0" w:space="0" w:color="auto"/>
                                <w:right w:val="none" w:sz="0" w:space="0" w:color="auto"/>
                              </w:divBdr>
                              <w:divsChild>
                                <w:div w:id="1437291335">
                                  <w:marLeft w:val="0"/>
                                  <w:marRight w:val="0"/>
                                  <w:marTop w:val="0"/>
                                  <w:marBottom w:val="0"/>
                                  <w:divBdr>
                                    <w:top w:val="none" w:sz="0" w:space="0" w:color="auto"/>
                                    <w:left w:val="none" w:sz="0" w:space="0" w:color="auto"/>
                                    <w:bottom w:val="none" w:sz="0" w:space="0" w:color="auto"/>
                                    <w:right w:val="none" w:sz="0" w:space="0" w:color="auto"/>
                                  </w:divBdr>
                                  <w:divsChild>
                                    <w:div w:id="127143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94513">
                          <w:marLeft w:val="0"/>
                          <w:marRight w:val="0"/>
                          <w:marTop w:val="0"/>
                          <w:marBottom w:val="0"/>
                          <w:divBdr>
                            <w:top w:val="none" w:sz="0" w:space="0" w:color="auto"/>
                            <w:left w:val="none" w:sz="0" w:space="0" w:color="auto"/>
                            <w:bottom w:val="none" w:sz="0" w:space="0" w:color="auto"/>
                            <w:right w:val="none" w:sz="0" w:space="0" w:color="auto"/>
                          </w:divBdr>
                          <w:divsChild>
                            <w:div w:id="411968634">
                              <w:marLeft w:val="0"/>
                              <w:marRight w:val="0"/>
                              <w:marTop w:val="0"/>
                              <w:marBottom w:val="0"/>
                              <w:divBdr>
                                <w:top w:val="none" w:sz="0" w:space="0" w:color="auto"/>
                                <w:left w:val="none" w:sz="0" w:space="0" w:color="auto"/>
                                <w:bottom w:val="none" w:sz="0" w:space="0" w:color="auto"/>
                                <w:right w:val="none" w:sz="0" w:space="0" w:color="auto"/>
                              </w:divBdr>
                              <w:divsChild>
                                <w:div w:id="114176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974429">
      <w:bodyDiv w:val="1"/>
      <w:marLeft w:val="0"/>
      <w:marRight w:val="0"/>
      <w:marTop w:val="0"/>
      <w:marBottom w:val="0"/>
      <w:divBdr>
        <w:top w:val="none" w:sz="0" w:space="0" w:color="auto"/>
        <w:left w:val="none" w:sz="0" w:space="0" w:color="auto"/>
        <w:bottom w:val="none" w:sz="0" w:space="0" w:color="auto"/>
        <w:right w:val="none" w:sz="0" w:space="0" w:color="auto"/>
      </w:divBdr>
    </w:div>
    <w:div w:id="2019849137">
      <w:bodyDiv w:val="1"/>
      <w:marLeft w:val="0"/>
      <w:marRight w:val="0"/>
      <w:marTop w:val="0"/>
      <w:marBottom w:val="0"/>
      <w:divBdr>
        <w:top w:val="none" w:sz="0" w:space="0" w:color="auto"/>
        <w:left w:val="none" w:sz="0" w:space="0" w:color="auto"/>
        <w:bottom w:val="none" w:sz="0" w:space="0" w:color="auto"/>
        <w:right w:val="none" w:sz="0" w:space="0" w:color="auto"/>
      </w:divBdr>
      <w:divsChild>
        <w:div w:id="459997471">
          <w:marLeft w:val="0"/>
          <w:marRight w:val="0"/>
          <w:marTop w:val="0"/>
          <w:marBottom w:val="0"/>
          <w:divBdr>
            <w:top w:val="none" w:sz="0" w:space="0" w:color="auto"/>
            <w:left w:val="none" w:sz="0" w:space="0" w:color="auto"/>
            <w:bottom w:val="none" w:sz="0" w:space="0" w:color="auto"/>
            <w:right w:val="none" w:sz="0" w:space="0" w:color="auto"/>
          </w:divBdr>
          <w:divsChild>
            <w:div w:id="8637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0396">
      <w:bodyDiv w:val="1"/>
      <w:marLeft w:val="0"/>
      <w:marRight w:val="0"/>
      <w:marTop w:val="0"/>
      <w:marBottom w:val="0"/>
      <w:divBdr>
        <w:top w:val="none" w:sz="0" w:space="0" w:color="auto"/>
        <w:left w:val="none" w:sz="0" w:space="0" w:color="auto"/>
        <w:bottom w:val="none" w:sz="0" w:space="0" w:color="auto"/>
        <w:right w:val="none" w:sz="0" w:space="0" w:color="auto"/>
      </w:divBdr>
      <w:divsChild>
        <w:div w:id="641471532">
          <w:marLeft w:val="0"/>
          <w:marRight w:val="0"/>
          <w:marTop w:val="0"/>
          <w:marBottom w:val="0"/>
          <w:divBdr>
            <w:top w:val="none" w:sz="0" w:space="0" w:color="auto"/>
            <w:left w:val="none" w:sz="0" w:space="0" w:color="auto"/>
            <w:bottom w:val="none" w:sz="0" w:space="0" w:color="auto"/>
            <w:right w:val="none" w:sz="0" w:space="0" w:color="auto"/>
          </w:divBdr>
          <w:divsChild>
            <w:div w:id="134029805">
              <w:marLeft w:val="0"/>
              <w:marRight w:val="0"/>
              <w:marTop w:val="0"/>
              <w:marBottom w:val="0"/>
              <w:divBdr>
                <w:top w:val="none" w:sz="0" w:space="0" w:color="auto"/>
                <w:left w:val="none" w:sz="0" w:space="0" w:color="auto"/>
                <w:bottom w:val="none" w:sz="0" w:space="0" w:color="auto"/>
                <w:right w:val="none" w:sz="0" w:space="0" w:color="auto"/>
              </w:divBdr>
              <w:divsChild>
                <w:div w:id="1471827720">
                  <w:marLeft w:val="0"/>
                  <w:marRight w:val="0"/>
                  <w:marTop w:val="0"/>
                  <w:marBottom w:val="0"/>
                  <w:divBdr>
                    <w:top w:val="none" w:sz="0" w:space="0" w:color="auto"/>
                    <w:left w:val="none" w:sz="0" w:space="0" w:color="auto"/>
                    <w:bottom w:val="none" w:sz="0" w:space="0" w:color="auto"/>
                    <w:right w:val="none" w:sz="0" w:space="0" w:color="auto"/>
                  </w:divBdr>
                  <w:divsChild>
                    <w:div w:id="5242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07866">
      <w:bodyDiv w:val="1"/>
      <w:marLeft w:val="0"/>
      <w:marRight w:val="0"/>
      <w:marTop w:val="0"/>
      <w:marBottom w:val="0"/>
      <w:divBdr>
        <w:top w:val="none" w:sz="0" w:space="0" w:color="auto"/>
        <w:left w:val="none" w:sz="0" w:space="0" w:color="auto"/>
        <w:bottom w:val="none" w:sz="0" w:space="0" w:color="auto"/>
        <w:right w:val="none" w:sz="0" w:space="0" w:color="auto"/>
      </w:divBdr>
      <w:divsChild>
        <w:div w:id="1524057734">
          <w:marLeft w:val="0"/>
          <w:marRight w:val="0"/>
          <w:marTop w:val="0"/>
          <w:marBottom w:val="0"/>
          <w:divBdr>
            <w:top w:val="none" w:sz="0" w:space="0" w:color="auto"/>
            <w:left w:val="none" w:sz="0" w:space="0" w:color="auto"/>
            <w:bottom w:val="none" w:sz="0" w:space="0" w:color="auto"/>
            <w:right w:val="none" w:sz="0" w:space="0" w:color="auto"/>
          </w:divBdr>
          <w:divsChild>
            <w:div w:id="14403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7137">
      <w:bodyDiv w:val="1"/>
      <w:marLeft w:val="0"/>
      <w:marRight w:val="0"/>
      <w:marTop w:val="0"/>
      <w:marBottom w:val="0"/>
      <w:divBdr>
        <w:top w:val="none" w:sz="0" w:space="0" w:color="auto"/>
        <w:left w:val="none" w:sz="0" w:space="0" w:color="auto"/>
        <w:bottom w:val="none" w:sz="0" w:space="0" w:color="auto"/>
        <w:right w:val="none" w:sz="0" w:space="0" w:color="auto"/>
      </w:divBdr>
      <w:divsChild>
        <w:div w:id="999117283">
          <w:marLeft w:val="0"/>
          <w:marRight w:val="0"/>
          <w:marTop w:val="0"/>
          <w:marBottom w:val="0"/>
          <w:divBdr>
            <w:top w:val="none" w:sz="0" w:space="0" w:color="auto"/>
            <w:left w:val="none" w:sz="0" w:space="0" w:color="auto"/>
            <w:bottom w:val="none" w:sz="0" w:space="0" w:color="auto"/>
            <w:right w:val="none" w:sz="0" w:space="0" w:color="auto"/>
          </w:divBdr>
          <w:divsChild>
            <w:div w:id="1348747150">
              <w:marLeft w:val="0"/>
              <w:marRight w:val="0"/>
              <w:marTop w:val="0"/>
              <w:marBottom w:val="0"/>
              <w:divBdr>
                <w:top w:val="none" w:sz="0" w:space="0" w:color="auto"/>
                <w:left w:val="none" w:sz="0" w:space="0" w:color="auto"/>
                <w:bottom w:val="none" w:sz="0" w:space="0" w:color="auto"/>
                <w:right w:val="none" w:sz="0" w:space="0" w:color="auto"/>
              </w:divBdr>
              <w:divsChild>
                <w:div w:id="1889534878">
                  <w:marLeft w:val="0"/>
                  <w:marRight w:val="0"/>
                  <w:marTop w:val="0"/>
                  <w:marBottom w:val="0"/>
                  <w:divBdr>
                    <w:top w:val="none" w:sz="0" w:space="0" w:color="auto"/>
                    <w:left w:val="none" w:sz="0" w:space="0" w:color="auto"/>
                    <w:bottom w:val="none" w:sz="0" w:space="0" w:color="auto"/>
                    <w:right w:val="none" w:sz="0" w:space="0" w:color="auto"/>
                  </w:divBdr>
                  <w:divsChild>
                    <w:div w:id="1295789736">
                      <w:marLeft w:val="0"/>
                      <w:marRight w:val="0"/>
                      <w:marTop w:val="0"/>
                      <w:marBottom w:val="0"/>
                      <w:divBdr>
                        <w:top w:val="none" w:sz="0" w:space="0" w:color="auto"/>
                        <w:left w:val="none" w:sz="0" w:space="0" w:color="auto"/>
                        <w:bottom w:val="none" w:sz="0" w:space="0" w:color="auto"/>
                        <w:right w:val="none" w:sz="0" w:space="0" w:color="auto"/>
                      </w:divBdr>
                      <w:divsChild>
                        <w:div w:id="319578448">
                          <w:marLeft w:val="0"/>
                          <w:marRight w:val="0"/>
                          <w:marTop w:val="0"/>
                          <w:marBottom w:val="0"/>
                          <w:divBdr>
                            <w:top w:val="none" w:sz="0" w:space="0" w:color="auto"/>
                            <w:left w:val="none" w:sz="0" w:space="0" w:color="auto"/>
                            <w:bottom w:val="none" w:sz="0" w:space="0" w:color="auto"/>
                            <w:right w:val="none" w:sz="0" w:space="0" w:color="auto"/>
                          </w:divBdr>
                          <w:divsChild>
                            <w:div w:id="281347423">
                              <w:marLeft w:val="0"/>
                              <w:marRight w:val="0"/>
                              <w:marTop w:val="0"/>
                              <w:marBottom w:val="0"/>
                              <w:divBdr>
                                <w:top w:val="none" w:sz="0" w:space="0" w:color="auto"/>
                                <w:left w:val="none" w:sz="0" w:space="0" w:color="auto"/>
                                <w:bottom w:val="none" w:sz="0" w:space="0" w:color="auto"/>
                                <w:right w:val="none" w:sz="0" w:space="0" w:color="auto"/>
                              </w:divBdr>
                              <w:divsChild>
                                <w:div w:id="181648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82901">
                          <w:marLeft w:val="0"/>
                          <w:marRight w:val="0"/>
                          <w:marTop w:val="0"/>
                          <w:marBottom w:val="0"/>
                          <w:divBdr>
                            <w:top w:val="none" w:sz="0" w:space="0" w:color="auto"/>
                            <w:left w:val="none" w:sz="0" w:space="0" w:color="auto"/>
                            <w:bottom w:val="none" w:sz="0" w:space="0" w:color="auto"/>
                            <w:right w:val="none" w:sz="0" w:space="0" w:color="auto"/>
                          </w:divBdr>
                          <w:divsChild>
                            <w:div w:id="1466387036">
                              <w:marLeft w:val="0"/>
                              <w:marRight w:val="0"/>
                              <w:marTop w:val="0"/>
                              <w:marBottom w:val="0"/>
                              <w:divBdr>
                                <w:top w:val="none" w:sz="0" w:space="0" w:color="auto"/>
                                <w:left w:val="none" w:sz="0" w:space="0" w:color="auto"/>
                                <w:bottom w:val="none" w:sz="0" w:space="0" w:color="auto"/>
                                <w:right w:val="none" w:sz="0" w:space="0" w:color="auto"/>
                              </w:divBdr>
                              <w:divsChild>
                                <w:div w:id="1541044351">
                                  <w:marLeft w:val="0"/>
                                  <w:marRight w:val="0"/>
                                  <w:marTop w:val="0"/>
                                  <w:marBottom w:val="0"/>
                                  <w:divBdr>
                                    <w:top w:val="none" w:sz="0" w:space="0" w:color="auto"/>
                                    <w:left w:val="none" w:sz="0" w:space="0" w:color="auto"/>
                                    <w:bottom w:val="none" w:sz="0" w:space="0" w:color="auto"/>
                                    <w:right w:val="none" w:sz="0" w:space="0" w:color="auto"/>
                                  </w:divBdr>
                                  <w:divsChild>
                                    <w:div w:id="190806050">
                                      <w:marLeft w:val="0"/>
                                      <w:marRight w:val="0"/>
                                      <w:marTop w:val="0"/>
                                      <w:marBottom w:val="0"/>
                                      <w:divBdr>
                                        <w:top w:val="none" w:sz="0" w:space="0" w:color="auto"/>
                                        <w:left w:val="none" w:sz="0" w:space="0" w:color="auto"/>
                                        <w:bottom w:val="none" w:sz="0" w:space="0" w:color="auto"/>
                                        <w:right w:val="none" w:sz="0" w:space="0" w:color="auto"/>
                                      </w:divBdr>
                                      <w:divsChild>
                                        <w:div w:id="358167931">
                                          <w:marLeft w:val="0"/>
                                          <w:marRight w:val="0"/>
                                          <w:marTop w:val="0"/>
                                          <w:marBottom w:val="0"/>
                                          <w:divBdr>
                                            <w:top w:val="none" w:sz="0" w:space="0" w:color="auto"/>
                                            <w:left w:val="none" w:sz="0" w:space="0" w:color="auto"/>
                                            <w:bottom w:val="none" w:sz="0" w:space="0" w:color="auto"/>
                                            <w:right w:val="none" w:sz="0" w:space="0" w:color="auto"/>
                                          </w:divBdr>
                                        </w:div>
                                        <w:div w:id="1096704985">
                                          <w:marLeft w:val="0"/>
                                          <w:marRight w:val="0"/>
                                          <w:marTop w:val="0"/>
                                          <w:marBottom w:val="0"/>
                                          <w:divBdr>
                                            <w:top w:val="none" w:sz="0" w:space="0" w:color="auto"/>
                                            <w:left w:val="none" w:sz="0" w:space="0" w:color="auto"/>
                                            <w:bottom w:val="none" w:sz="0" w:space="0" w:color="auto"/>
                                            <w:right w:val="none" w:sz="0" w:space="0" w:color="auto"/>
                                          </w:divBdr>
                                        </w:div>
                                        <w:div w:id="1108499844">
                                          <w:marLeft w:val="0"/>
                                          <w:marRight w:val="0"/>
                                          <w:marTop w:val="0"/>
                                          <w:marBottom w:val="0"/>
                                          <w:divBdr>
                                            <w:top w:val="none" w:sz="0" w:space="0" w:color="auto"/>
                                            <w:left w:val="none" w:sz="0" w:space="0" w:color="auto"/>
                                            <w:bottom w:val="none" w:sz="0" w:space="0" w:color="auto"/>
                                            <w:right w:val="none" w:sz="0" w:space="0" w:color="auto"/>
                                          </w:divBdr>
                                        </w:div>
                                        <w:div w:id="1493058459">
                                          <w:marLeft w:val="0"/>
                                          <w:marRight w:val="0"/>
                                          <w:marTop w:val="0"/>
                                          <w:marBottom w:val="0"/>
                                          <w:divBdr>
                                            <w:top w:val="none" w:sz="0" w:space="0" w:color="auto"/>
                                            <w:left w:val="none" w:sz="0" w:space="0" w:color="auto"/>
                                            <w:bottom w:val="none" w:sz="0" w:space="0" w:color="auto"/>
                                            <w:right w:val="none" w:sz="0" w:space="0" w:color="auto"/>
                                          </w:divBdr>
                                        </w:div>
                                        <w:div w:id="166581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906269">
      <w:bodyDiv w:val="1"/>
      <w:marLeft w:val="0"/>
      <w:marRight w:val="0"/>
      <w:marTop w:val="0"/>
      <w:marBottom w:val="0"/>
      <w:divBdr>
        <w:top w:val="none" w:sz="0" w:space="0" w:color="auto"/>
        <w:left w:val="none" w:sz="0" w:space="0" w:color="auto"/>
        <w:bottom w:val="none" w:sz="0" w:space="0" w:color="auto"/>
        <w:right w:val="none" w:sz="0" w:space="0" w:color="auto"/>
      </w:divBdr>
      <w:divsChild>
        <w:div w:id="954673889">
          <w:marLeft w:val="0"/>
          <w:marRight w:val="0"/>
          <w:marTop w:val="0"/>
          <w:marBottom w:val="0"/>
          <w:divBdr>
            <w:top w:val="none" w:sz="0" w:space="0" w:color="auto"/>
            <w:left w:val="none" w:sz="0" w:space="0" w:color="auto"/>
            <w:bottom w:val="none" w:sz="0" w:space="0" w:color="auto"/>
            <w:right w:val="none" w:sz="0" w:space="0" w:color="auto"/>
          </w:divBdr>
          <w:divsChild>
            <w:div w:id="1267812722">
              <w:marLeft w:val="0"/>
              <w:marRight w:val="0"/>
              <w:marTop w:val="0"/>
              <w:marBottom w:val="0"/>
              <w:divBdr>
                <w:top w:val="none" w:sz="0" w:space="0" w:color="auto"/>
                <w:left w:val="none" w:sz="0" w:space="0" w:color="auto"/>
                <w:bottom w:val="none" w:sz="0" w:space="0" w:color="auto"/>
                <w:right w:val="none" w:sz="0" w:space="0" w:color="auto"/>
              </w:divBdr>
              <w:divsChild>
                <w:div w:id="688992795">
                  <w:marLeft w:val="0"/>
                  <w:marRight w:val="0"/>
                  <w:marTop w:val="0"/>
                  <w:marBottom w:val="0"/>
                  <w:divBdr>
                    <w:top w:val="none" w:sz="0" w:space="0" w:color="auto"/>
                    <w:left w:val="none" w:sz="0" w:space="0" w:color="auto"/>
                    <w:bottom w:val="none" w:sz="0" w:space="0" w:color="auto"/>
                    <w:right w:val="none" w:sz="0" w:space="0" w:color="auto"/>
                  </w:divBdr>
                  <w:divsChild>
                    <w:div w:id="11194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hwcr.com/index.php/jhwcr/article/view/133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lmi.education/"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hyperlink" Target="https://jhwc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JHRR\JHRR%20Final%20Template%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3A4B0-4804-4998-B8FE-43E6C0BC2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JHRR Final Template 2025.dotx</Template>
  <TotalTime>1</TotalTime>
  <Pages>11</Pages>
  <Words>5884</Words>
  <Characters>33543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c:creator>
  <cp:keywords/>
  <dc:description/>
  <cp:lastModifiedBy>Reviewer</cp:lastModifiedBy>
  <cp:revision>3</cp:revision>
  <cp:lastPrinted>2026-03-09T03:59:00Z</cp:lastPrinted>
  <dcterms:created xsi:type="dcterms:W3CDTF">2026-03-12T04:51:00Z</dcterms:created>
  <dcterms:modified xsi:type="dcterms:W3CDTF">2026-03-13T05:00:00Z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2024-08-13T11:48:01Z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cb9aac97-6d8f-4bc6-b373-c4378de845e2</vt:lpwstr>
  </property>
  <property fmtid="{D5CDD505-2E9C-101B-9397-08002B2CF9AE}" pid="7" name="MSIP_Label_defa4170-0d19-0005-0004-bc88714345d2_ActionId">
    <vt:lpwstr>6069603d-73ad-4d41-82fd-56544ed2e7ce</vt:lpwstr>
  </property>
  <property fmtid="{D5CDD505-2E9C-101B-9397-08002B2CF9AE}" pid="8" name="MSIP_Label_defa4170-0d19-0005-0004-bc88714345d2_ContentBits">
    <vt:lpwstr>0</vt:lpwstr>
  </property>
</Properties>
</file>